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4309" w:rsidRDefault="009D4309" w:rsidP="009D4309">
      <w:pPr>
        <w:pStyle w:val="ARTitle"/>
        <w:rPr>
          <w:color w:val="333399"/>
          <w:sz w:val="32"/>
          <w:szCs w:val="32"/>
        </w:rPr>
      </w:pPr>
      <w:r>
        <w:rPr>
          <w:color w:val="333399"/>
          <w:sz w:val="32"/>
          <w:szCs w:val="32"/>
        </w:rPr>
        <w:t>Ballot Adjudication Summary</w:t>
      </w:r>
    </w:p>
    <w:p w:rsidR="009D4309" w:rsidRDefault="009D4309" w:rsidP="009D4309">
      <w:pPr>
        <w:pStyle w:val="ARTitle"/>
        <w:rPr>
          <w:color w:val="333399"/>
          <w:sz w:val="32"/>
          <w:szCs w:val="32"/>
        </w:rPr>
      </w:pPr>
      <w:r>
        <w:rPr>
          <w:rFonts w:hint="eastAsia"/>
          <w:color w:val="333399"/>
          <w:sz w:val="32"/>
          <w:szCs w:val="32"/>
          <w:lang w:eastAsia="ja-JP"/>
        </w:rPr>
        <w:t>20</w:t>
      </w:r>
      <w:r>
        <w:rPr>
          <w:color w:val="333399"/>
          <w:sz w:val="32"/>
          <w:szCs w:val="32"/>
          <w:lang w:eastAsia="ja-JP"/>
        </w:rPr>
        <w:t>13</w:t>
      </w:r>
      <w:r>
        <w:rPr>
          <w:rFonts w:hint="eastAsia"/>
          <w:color w:val="333399"/>
          <w:sz w:val="32"/>
          <w:szCs w:val="32"/>
          <w:lang w:eastAsia="ja-JP"/>
        </w:rPr>
        <w:t xml:space="preserve"> </w:t>
      </w:r>
      <w:r>
        <w:rPr>
          <w:rFonts w:hint="eastAsia"/>
          <w:color w:val="333399"/>
          <w:sz w:val="32"/>
          <w:szCs w:val="32"/>
        </w:rPr>
        <w:t xml:space="preserve">Cycle </w:t>
      </w:r>
      <w:r>
        <w:rPr>
          <w:color w:val="333399"/>
          <w:sz w:val="32"/>
          <w:szCs w:val="32"/>
          <w:lang w:eastAsia="ja-JP"/>
        </w:rPr>
        <w:t>1</w:t>
      </w:r>
    </w:p>
    <w:p w:rsidR="009D4309" w:rsidRDefault="009D4309" w:rsidP="009D4309">
      <w:pPr>
        <w:pStyle w:val="ARTitle"/>
        <w:jc w:val="left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REGION: </w:t>
      </w:r>
      <w:r>
        <w:rPr>
          <w:color w:val="0000FF"/>
          <w:sz w:val="21"/>
          <w:szCs w:val="21"/>
          <w:lang w:eastAsia="ja-JP"/>
        </w:rPr>
        <w:t>North America</w:t>
      </w:r>
    </w:p>
    <w:p w:rsidR="009D4309" w:rsidRDefault="009D4309" w:rsidP="009D4309">
      <w:pPr>
        <w:pStyle w:val="ARTitle"/>
        <w:jc w:val="left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>COMMITTEE: EHS</w:t>
      </w:r>
    </w:p>
    <w:p w:rsidR="009D4309" w:rsidRDefault="009D4309" w:rsidP="009D4309">
      <w:pPr>
        <w:pStyle w:val="ARTitle"/>
        <w:jc w:val="left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EVENT: </w:t>
      </w:r>
      <w:r>
        <w:rPr>
          <w:color w:val="0000FF"/>
          <w:sz w:val="21"/>
          <w:szCs w:val="21"/>
          <w:lang w:eastAsia="ja-JP"/>
        </w:rPr>
        <w:t>NA Standards Spring 2013 Meetings</w:t>
      </w:r>
    </w:p>
    <w:p w:rsidR="009D4309" w:rsidRDefault="009D4309" w:rsidP="009D4309">
      <w:pPr>
        <w:pStyle w:val="ARTitle"/>
        <w:jc w:val="left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>DATE OF MEETING: April 4 2013</w:t>
      </w:r>
    </w:p>
    <w:p w:rsidR="009D4309" w:rsidRDefault="009D4309" w:rsidP="009D4309">
      <w:pPr>
        <w:pStyle w:val="ARTitle"/>
        <w:jc w:val="left"/>
        <w:rPr>
          <w:color w:val="0000FF"/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>PLACE OF MEETING: SEMI Headquarters in San Jose, California</w:t>
      </w:r>
    </w:p>
    <w:p w:rsidR="009D4309" w:rsidRDefault="009D4309" w:rsidP="009D4309">
      <w:pPr>
        <w:pStyle w:val="ARTitle"/>
        <w:jc w:val="left"/>
        <w:rPr>
          <w:color w:val="0000FF"/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>COMMITTEE CO-CHAIRS: Sean Larsen/Lam Research AG, Chris Evanston/</w:t>
      </w:r>
      <w:proofErr w:type="spellStart"/>
      <w:r>
        <w:rPr>
          <w:sz w:val="21"/>
          <w:szCs w:val="21"/>
          <w:lang w:eastAsia="ja-JP"/>
        </w:rPr>
        <w:t>Salus</w:t>
      </w:r>
      <w:proofErr w:type="spellEnd"/>
    </w:p>
    <w:p w:rsidR="009D4309" w:rsidRDefault="009D4309" w:rsidP="009D4309">
      <w:pPr>
        <w:pStyle w:val="ARTitle"/>
        <w:jc w:val="left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>SEMI STAFF: Paul Trio</w:t>
      </w:r>
    </w:p>
    <w:p w:rsidR="0001746B" w:rsidRPr="00D1734F" w:rsidRDefault="0001746B">
      <w:pPr>
        <w:pStyle w:val="ARTitle"/>
        <w:rPr>
          <w:rFonts w:cs="Arial"/>
        </w:rPr>
      </w:pP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I. Document Number &amp; Title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46"/>
      </w:tblGrid>
      <w:tr w:rsidR="0001746B" w:rsidRPr="00D1734F">
        <w:trPr>
          <w:jc w:val="center"/>
        </w:trPr>
        <w:tc>
          <w:tcPr>
            <w:tcW w:w="2244" w:type="dxa"/>
          </w:tcPr>
          <w:p w:rsidR="0001746B" w:rsidRPr="00D1734F" w:rsidRDefault="0001746B" w:rsidP="009B78AE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r w:rsidRPr="00D1734F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Document </w:t>
            </w:r>
            <w:r w:rsidR="009B78AE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5521</w:t>
            </w:r>
          </w:p>
        </w:tc>
        <w:tc>
          <w:tcPr>
            <w:tcW w:w="7146" w:type="dxa"/>
          </w:tcPr>
          <w:p w:rsidR="0001746B" w:rsidRPr="00D1734F" w:rsidRDefault="009B78AE">
            <w:pPr>
              <w:snapToGrid w:val="0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  <w:proofErr w:type="spellStart"/>
            <w:r w:rsidRPr="009B78AE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>Reapproval</w:t>
            </w:r>
            <w:proofErr w:type="spellEnd"/>
            <w:r w:rsidRPr="009B78AE"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  <w:t xml:space="preserve"> of SEMI S1-0708E, Safety Guideline for Equipment Safety Labels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p w:rsidR="0001746B" w:rsidRPr="00D1734F" w:rsidRDefault="0001746B">
      <w:pPr>
        <w:pStyle w:val="ARSubheading1"/>
        <w:rPr>
          <w:rFonts w:ascii="Arial" w:hAnsi="Arial"/>
          <w:bCs w:val="0"/>
          <w:color w:val="FF6600"/>
          <w:sz w:val="28"/>
          <w:szCs w:val="28"/>
        </w:rPr>
      </w:pPr>
      <w:r w:rsidRPr="00D1734F">
        <w:rPr>
          <w:rFonts w:ascii="Arial" w:hAnsi="Arial"/>
          <w:bCs w:val="0"/>
          <w:color w:val="333399"/>
          <w:sz w:val="32"/>
          <w:szCs w:val="32"/>
        </w:rPr>
        <w:t>II. Tally</w:t>
      </w:r>
      <w:r w:rsidRPr="00D1734F">
        <w:rPr>
          <w:rFonts w:ascii="Arial" w:hAnsi="Arial"/>
          <w:bCs w:val="0"/>
          <w:color w:val="FF6600"/>
          <w:sz w:val="28"/>
          <w:szCs w:val="28"/>
        </w:rPr>
        <w:t xml:space="preserve"> (</w:t>
      </w:r>
      <w:r w:rsidRPr="00D1734F">
        <w:rPr>
          <w:rFonts w:ascii="Arial" w:hAnsi="Arial"/>
          <w:color w:val="FF6600"/>
          <w:sz w:val="28"/>
          <w:szCs w:val="28"/>
        </w:rPr>
        <w:t>Staff to fill in</w:t>
      </w:r>
      <w:r w:rsidRPr="00D1734F">
        <w:rPr>
          <w:rFonts w:ascii="Arial" w:hAnsi="Arial"/>
          <w:bCs w:val="0"/>
          <w:color w:val="FF6600"/>
          <w:sz w:val="28"/>
          <w:szCs w:val="28"/>
        </w:rPr>
        <w:t>)</w:t>
      </w:r>
    </w:p>
    <w:p w:rsidR="0001746B" w:rsidRPr="00D1734F" w:rsidRDefault="0001746B">
      <w:pPr>
        <w:rPr>
          <w:rFonts w:ascii="Arial" w:hAnsi="Arial" w:cs="Arial"/>
          <w:b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b/>
          <w:color w:val="FF6600"/>
        </w:rPr>
      </w:pPr>
      <w:r w:rsidRPr="00D1734F">
        <w:rPr>
          <w:rFonts w:ascii="Arial" w:hAnsi="Arial" w:cs="Arial"/>
          <w:b/>
        </w:rPr>
        <w:t xml:space="preserve">Voting Tally: </w:t>
      </w:r>
      <w:r w:rsidRPr="00D1734F">
        <w:rPr>
          <w:rFonts w:ascii="Arial" w:hAnsi="Arial" w:cs="Arial"/>
          <w:b/>
          <w:color w:val="FF6600"/>
        </w:rPr>
        <w:t>As-cast tally after close of voting period</w:t>
      </w:r>
    </w:p>
    <w:p w:rsidR="0001746B" w:rsidRPr="00D1734F" w:rsidRDefault="0001746B">
      <w:pPr>
        <w:pStyle w:val="RegsH3Text"/>
        <w:ind w:left="360"/>
        <w:rPr>
          <w:rFonts w:ascii="Arial" w:hAnsi="Arial" w:cs="Arial"/>
        </w:rPr>
      </w:pPr>
      <w:r w:rsidRPr="00D1734F">
        <w:rPr>
          <w:rFonts w:ascii="Arial" w:hAnsi="Arial" w:cs="Arial"/>
        </w:rPr>
        <w:t>A minimum of 60% of the voting interests that have voting members within the technical committee must return votes. (Regulations ¶ 9.6.1)</w:t>
      </w:r>
    </w:p>
    <w:p w:rsidR="0001746B" w:rsidRPr="00D1734F" w:rsidRDefault="00D873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8pt;width:321.2pt;height:125.7pt;z-index:251657216;mso-wrap-distance-left:9.05pt;mso-wrap-distance-right:9.05pt" filled="t">
            <v:fill color2="black"/>
            <v:imagedata r:id="rId8" o:title=""/>
            <w10:wrap type="topAndBottom"/>
          </v:shape>
          <o:OLEObject Type="Embed" ProgID="Excel.Sheet.8" ShapeID="_x0000_s1026" DrawAspect="Content" ObjectID="_1427550192" r:id="rId9"/>
        </w:pict>
      </w: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</w:p>
    <w:p w:rsidR="0001746B" w:rsidRPr="00D1734F" w:rsidRDefault="0001746B">
      <w:pPr>
        <w:rPr>
          <w:rFonts w:ascii="Arial" w:hAnsi="Arial" w:cs="Arial"/>
          <w:sz w:val="20"/>
          <w:szCs w:val="20"/>
        </w:rPr>
      </w:pPr>
      <w:r w:rsidRPr="00D1734F">
        <w:br w:type="page"/>
      </w:r>
      <w:r w:rsidRPr="00D1734F">
        <w:rPr>
          <w:rFonts w:ascii="Arial" w:hAnsi="Arial" w:cs="Arial"/>
          <w:color w:val="333399"/>
          <w:sz w:val="32"/>
          <w:szCs w:val="32"/>
        </w:rPr>
        <w:lastRenderedPageBreak/>
        <w:t>III. Rejects</w:t>
      </w:r>
    </w:p>
    <w:p w:rsidR="0001746B" w:rsidRPr="00D1734F" w:rsidRDefault="0001746B">
      <w:pPr>
        <w:pStyle w:val="ARHeading1"/>
        <w:rPr>
          <w:rFonts w:ascii="Arial" w:hAnsi="Arial" w:cs="Arial"/>
          <w:color w:val="333399"/>
          <w:sz w:val="28"/>
          <w:szCs w:val="28"/>
        </w:rPr>
      </w:pPr>
      <w:r w:rsidRPr="00D1734F">
        <w:rPr>
          <w:rFonts w:ascii="Arial" w:hAnsi="Arial" w:cs="Arial"/>
          <w:color w:val="333399"/>
          <w:sz w:val="28"/>
          <w:szCs w:val="28"/>
        </w:rPr>
        <w:t>Reject 1 (</w:t>
      </w:r>
      <w:r w:rsidR="00AE75EF" w:rsidRPr="00AE75EF">
        <w:rPr>
          <w:rFonts w:ascii="Arial" w:hAnsi="Arial" w:cs="Arial"/>
          <w:color w:val="333399"/>
          <w:sz w:val="28"/>
          <w:szCs w:val="28"/>
        </w:rPr>
        <w:t>Lam Research AG: Sean Larsen</w:t>
      </w:r>
      <w:r w:rsidRPr="00D1734F">
        <w:rPr>
          <w:rFonts w:ascii="Arial" w:hAnsi="Arial" w:cs="Arial"/>
          <w:color w:val="333399"/>
          <w:sz w:val="28"/>
          <w:szCs w:val="28"/>
        </w:rPr>
        <w:t>)</w:t>
      </w:r>
    </w:p>
    <w:p w:rsidR="0001746B" w:rsidRPr="00D1734F" w:rsidRDefault="00AE75EF">
      <w:pPr>
        <w:pStyle w:val="ARSubheading2"/>
        <w:rPr>
          <w:rFonts w:ascii="Arial" w:hAnsi="Arial" w:cs="Arial"/>
        </w:rPr>
      </w:pPr>
      <w:r>
        <w:rPr>
          <w:rFonts w:ascii="Arial" w:hAnsi="Arial" w:cs="Arial"/>
        </w:rPr>
        <w:t>Negative 1 of Reject 2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7"/>
        <w:gridCol w:w="1719"/>
        <w:gridCol w:w="330"/>
        <w:gridCol w:w="16"/>
        <w:gridCol w:w="510"/>
        <w:gridCol w:w="482"/>
        <w:gridCol w:w="1918"/>
        <w:gridCol w:w="634"/>
        <w:gridCol w:w="745"/>
        <w:gridCol w:w="672"/>
        <w:gridCol w:w="814"/>
        <w:gridCol w:w="1197"/>
      </w:tblGrid>
      <w:tr w:rsidR="00D1734F" w:rsidRPr="00D1734F">
        <w:trPr>
          <w:cantSplit/>
          <w:trHeight w:hRule="exact" w:val="315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1734F" w:rsidRPr="00D1734F" w:rsidRDefault="00D1734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Negative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Referenced Section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1734F" w:rsidRPr="00D1734F" w:rsidRDefault="00D1734F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  <w:t>*TF/Committee to fill in if necessary</w:t>
            </w:r>
          </w:p>
        </w:tc>
      </w:tr>
      <w:tr w:rsidR="00D1734F" w:rsidRPr="00D1734F">
        <w:trPr>
          <w:cantSplit/>
          <w:trHeight w:hRule="exact" w:val="30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1734F" w:rsidRPr="00D1734F" w:rsidRDefault="00D1734F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34F" w:rsidRPr="00D1734F" w:rsidRDefault="00AE75EF" w:rsidP="00D1734F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  <w:t>6.5</w:t>
            </w:r>
          </w:p>
        </w:tc>
      </w:tr>
      <w:tr w:rsidR="00D1734F" w:rsidRPr="00D1734F">
        <w:trPr>
          <w:cantSplit/>
          <w:trHeight w:val="49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1734F" w:rsidRPr="00D1734F" w:rsidRDefault="00D1734F" w:rsidP="00D1734F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*Original negative comment and justification should be included.</w:t>
            </w:r>
          </w:p>
        </w:tc>
      </w:tr>
      <w:tr w:rsidR="00D1734F" w:rsidRPr="00D1734F">
        <w:trPr>
          <w:cantSplit/>
          <w:trHeight w:val="43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5EF" w:rsidRPr="00252B05" w:rsidRDefault="00AE75EF" w:rsidP="00AE75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2B05">
              <w:rPr>
                <w:rFonts w:ascii="Arial Narrow" w:hAnsi="Arial Narrow" w:cs="Arial"/>
                <w:sz w:val="20"/>
                <w:szCs w:val="20"/>
              </w:rPr>
              <w:t xml:space="preserve">SEMI S1 6.5 states </w:t>
            </w:r>
            <w:r w:rsidRPr="00252B05">
              <w:rPr>
                <w:rFonts w:ascii="Arial Narrow" w:hAnsi="Arial Narrow" w:cs="Arial"/>
                <w:i/>
                <w:sz w:val="20"/>
                <w:szCs w:val="20"/>
              </w:rPr>
              <w:t>Durability</w:t>
            </w:r>
            <w:r w:rsidRPr="00252B05">
              <w:rPr>
                <w:rFonts w:ascii="Arial Narrow" w:hAnsi="Arial Narrow" w:cs="Arial"/>
                <w:sz w:val="20"/>
                <w:szCs w:val="20"/>
              </w:rPr>
              <w:t xml:space="preserve"> – Safety labels should have a reasonable useful life.  Determination of reasonable useful life should take into consideration the expected life of the product and the intended environment of use.  </w:t>
            </w:r>
          </w:p>
          <w:p w:rsidR="00AE75EF" w:rsidRPr="00252B05" w:rsidRDefault="00AE75EF" w:rsidP="00AE75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2B05">
              <w:rPr>
                <w:rFonts w:ascii="Arial Narrow" w:hAnsi="Arial Narrow" w:cs="Arial"/>
                <w:sz w:val="20"/>
                <w:szCs w:val="20"/>
              </w:rPr>
              <w:t>Similarly, SEMI S2 10.2 (and copied by S26) require labels to be durable and suitable for the use environment.</w:t>
            </w:r>
          </w:p>
          <w:p w:rsidR="00AE75EF" w:rsidRPr="00252B05" w:rsidRDefault="00AE75EF" w:rsidP="00AE75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2B05">
              <w:rPr>
                <w:rFonts w:ascii="Arial Narrow" w:hAnsi="Arial Narrow" w:cs="Arial"/>
                <w:sz w:val="20"/>
                <w:szCs w:val="20"/>
              </w:rPr>
              <w:t>Neither of these criteria provides clear guidance or evaluation criteria for label durability.</w:t>
            </w:r>
          </w:p>
          <w:p w:rsidR="00AE75EF" w:rsidRDefault="00AE75EF" w:rsidP="00AE75E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E75EF" w:rsidRPr="00252B05" w:rsidRDefault="00AE75EF" w:rsidP="00AE75E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52B05">
              <w:rPr>
                <w:rFonts w:ascii="Arial Narrow" w:hAnsi="Arial Narrow" w:cs="Arial"/>
                <w:b/>
                <w:sz w:val="20"/>
                <w:szCs w:val="20"/>
              </w:rPr>
              <w:t>Suggestion / Justification</w:t>
            </w:r>
          </w:p>
          <w:p w:rsidR="00AE75EF" w:rsidRPr="00252B05" w:rsidRDefault="00AE75EF" w:rsidP="00AE75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2B05">
              <w:rPr>
                <w:rFonts w:ascii="Arial Narrow" w:hAnsi="Arial Narrow" w:cs="Arial"/>
                <w:sz w:val="20"/>
                <w:szCs w:val="20"/>
              </w:rPr>
              <w:t>ANSI/UL 969 is one certification standard related to label durability.</w:t>
            </w:r>
          </w:p>
          <w:p w:rsidR="00AE75EF" w:rsidRPr="00252B05" w:rsidRDefault="00AE75EF" w:rsidP="00AE75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2B05">
              <w:rPr>
                <w:rFonts w:ascii="Arial Narrow" w:hAnsi="Arial Narrow" w:cs="Arial"/>
                <w:sz w:val="20"/>
                <w:szCs w:val="20"/>
              </w:rPr>
              <w:t>ISO 17398 is another such standard defining label durability requirements.</w:t>
            </w:r>
          </w:p>
          <w:p w:rsidR="00A35C5A" w:rsidRPr="00D1734F" w:rsidRDefault="00AE75EF" w:rsidP="00AE75EF">
            <w:pP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252B05">
              <w:rPr>
                <w:rFonts w:ascii="Arial Narrow" w:hAnsi="Arial Narrow" w:cs="Arial"/>
                <w:sz w:val="20"/>
                <w:szCs w:val="20"/>
              </w:rPr>
              <w:t>S1 should be modified to either reference these external requirements or provide some evaluation criteria for durability requirements.   My preference is</w:t>
            </w:r>
          </w:p>
        </w:tc>
      </w:tr>
      <w:tr w:rsidR="00C02F11" w:rsidRPr="00D1734F">
        <w:trPr>
          <w:cantSplit/>
          <w:trHeight w:hRule="exact" w:val="462"/>
          <w:jc w:val="center"/>
        </w:trPr>
        <w:tc>
          <w:tcPr>
            <w:tcW w:w="208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Withdrawal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AE75EF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F11" w:rsidRPr="00D1734F" w:rsidRDefault="00C02F11">
            <w:pPr>
              <w:keepNext/>
              <w:keepLines/>
              <w:autoSpaceDE w:val="0"/>
              <w:snapToGrid w:val="0"/>
              <w:spacing w:line="240" w:lineRule="atLeast"/>
              <w:ind w:left="9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No withdrawal made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D1734F" w:rsidRDefault="00C02F11" w:rsidP="00022143">
            <w:pPr>
              <w:suppressAutoHyphens w:val="0"/>
              <w:rPr>
                <w:rFonts w:ascii="Arial" w:hAnsi="Arial" w:cs="Arial"/>
                <w:b/>
                <w:snapToGrid w:val="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GO</w:t>
            </w:r>
            <w:r w:rsidR="004718F7"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TO</w:t>
            </w:r>
            <w:r w:rsidR="004718F7"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“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Related” </w:t>
            </w:r>
            <w:r w:rsidR="004718F7">
              <w:rPr>
                <w:rFonts w:ascii="Arial" w:hAnsi="Arial" w:cs="Arial" w:hint="eastAsia"/>
                <w:b/>
                <w:snapToGrid w:val="0"/>
                <w:sz w:val="20"/>
                <w:szCs w:val="20"/>
                <w:lang w:eastAsia="ja-JP"/>
              </w:rPr>
              <w:t>s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>ection</w:t>
            </w:r>
          </w:p>
        </w:tc>
      </w:tr>
      <w:tr w:rsidR="00C02F11" w:rsidRPr="00D1734F">
        <w:trPr>
          <w:cantSplit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C02F11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02F11" w:rsidRPr="00D1734F" w:rsidRDefault="00C02F11" w:rsidP="00022143">
            <w:pPr>
              <w:keepNext/>
              <w:keepLines/>
              <w:autoSpaceDE w:val="0"/>
              <w:snapToGrid w:val="0"/>
              <w:spacing w:line="240" w:lineRule="atLeast"/>
              <w:ind w:left="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Withdrawal document received by staff 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D1734F" w:rsidRDefault="00C02F11" w:rsidP="00A52F81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="001C0A0C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431592"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1C0A0C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A35C5A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(</w:t>
            </w:r>
            <w:r w:rsidRPr="00A35C5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A)</w:t>
            </w:r>
          </w:p>
        </w:tc>
      </w:tr>
      <w:tr w:rsidR="00C02F11" w:rsidRPr="00D1734F">
        <w:trPr>
          <w:cantSplit/>
          <w:trHeight w:hRule="exact" w:val="296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02F11" w:rsidRPr="00D1734F" w:rsidRDefault="00C02F11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Related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F65533" w:rsidRDefault="00AE75EF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 w:rsidP="00C02F11">
            <w:pPr>
              <w:snapToGrid w:val="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sz w:val="20"/>
                <w:szCs w:val="20"/>
              </w:rPr>
              <w:t>“Related” is mutually agreed upon.</w:t>
            </w:r>
          </w:p>
        </w:tc>
      </w:tr>
      <w:tr w:rsidR="0001746B" w:rsidRPr="00D1734F">
        <w:trPr>
          <w:cantSplit/>
          <w:trHeight w:hRule="exact" w:val="61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*This motion can be appended to the motion for Persuasive (See Persuasive Section)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Negative is related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not related</w:t>
            </w:r>
            <w:r w:rsidRPr="00D1734F">
              <w:rPr>
                <w:rFonts w:ascii="Arial" w:hAnsi="Arial" w:cs="Arial"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01746B" w:rsidRPr="00D1734F" w:rsidTr="00B525F2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</w:tcPr>
          <w:p w:rsidR="0001746B" w:rsidRPr="00D1734F" w:rsidRDefault="0001746B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</w:t>
            </w:r>
            <w:r w:rsidR="00251B71" w:rsidRPr="00D1734F">
              <w:rPr>
                <w:rFonts w:ascii="Arial" w:hAnsi="Arial" w:cs="Arial"/>
                <w:sz w:val="20"/>
                <w:szCs w:val="20"/>
                <w:lang w:eastAsia="ja-JP"/>
              </w:rPr>
              <w:t>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01746B" w:rsidRPr="00D1734F" w:rsidTr="00933F39">
        <w:trPr>
          <w:cantSplit/>
          <w:trHeight w:val="59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  <w:p w:rsidR="00C92E53" w:rsidRPr="00D1734F" w:rsidRDefault="00C92E53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D62A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="0001746B"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</w:p>
        </w:tc>
      </w:tr>
      <w:tr w:rsidR="005A2629" w:rsidRPr="00D1734F">
        <w:trPr>
          <w:cantSplit/>
          <w:trHeight w:hRule="exact" w:val="42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5A2629" w:rsidRPr="00D1734F" w:rsidRDefault="005A262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2629" w:rsidRPr="00D1734F" w:rsidRDefault="005A262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is related]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3428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A2629" w:rsidRPr="00D1734F" w:rsidRDefault="005A2629" w:rsidP="00D1734F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“Persuasive”</w:t>
            </w:r>
          </w:p>
        </w:tc>
      </w:tr>
      <w:tr w:rsidR="005A2629" w:rsidRPr="00D1734F">
        <w:trPr>
          <w:cantSplit/>
          <w:trHeight w:hRule="exact" w:val="41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A2629" w:rsidRPr="00D1734F" w:rsidRDefault="005A262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5A2629" w:rsidRPr="00D1734F" w:rsidRDefault="005A262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629" w:rsidRPr="00D1734F" w:rsidRDefault="005A2629" w:rsidP="005A262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is not related] &lt; 2/3</w:t>
            </w:r>
          </w:p>
        </w:tc>
        <w:tc>
          <w:tcPr>
            <w:tcW w:w="342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A2629" w:rsidRPr="00D1734F" w:rsidRDefault="005A2629" w:rsidP="00D1734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734F" w:rsidRPr="00D1734F">
        <w:trPr>
          <w:cantSplit/>
          <w:trHeight w:hRule="exact" w:val="418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 [Negative is not related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1734F" w:rsidRPr="00D1734F" w:rsidRDefault="00D1734F" w:rsidP="00D1734F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592"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 w:rsidR="00431592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</w:tr>
      <w:tr w:rsidR="00D1734F" w:rsidRPr="00D1734F">
        <w:trPr>
          <w:cantSplit/>
          <w:trHeight w:val="39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734F" w:rsidRPr="00D1734F" w:rsidRDefault="00D1734F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1734F" w:rsidRPr="00D1734F" w:rsidRDefault="00D173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1734F" w:rsidRPr="00D1734F" w:rsidRDefault="00D1734F" w:rsidP="00D1734F">
            <w:pPr>
              <w:suppressAutoHyphens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 w:rsidP="00B27D13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Persuasive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01746B" w:rsidRPr="00D1734F" w:rsidRDefault="00AE75EF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bookmarkStart w:id="0" w:name="OLE_LINK1"/>
            <w:bookmarkEnd w:id="0"/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not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01746B" w:rsidRPr="00D1734F" w:rsidTr="00F65533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000000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AE75EF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Sean Larsen (Lam Research AG) / Alan Crockett (KLA-Tencor</w:t>
            </w:r>
            <w:r w:rsidR="0001746B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 w:rsidTr="003F047B">
        <w:trPr>
          <w:cantSplit/>
          <w:trHeight w:val="31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1524" w:rsidRDefault="00AE75EF" w:rsidP="003C1524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Chris Evanston </w:t>
            </w:r>
            <w:r w:rsidR="00A075A9">
              <w:rPr>
                <w:rFonts w:ascii="Arial" w:hAnsi="Arial" w:cs="Arial"/>
                <w:color w:val="0000FF"/>
                <w:sz w:val="20"/>
                <w:szCs w:val="20"/>
              </w:rPr>
              <w:t>(</w:t>
            </w:r>
            <w:proofErr w:type="spellStart"/>
            <w:r w:rsidR="00A075A9">
              <w:rPr>
                <w:rFonts w:ascii="Arial" w:hAnsi="Arial" w:cs="Arial"/>
                <w:color w:val="0000FF"/>
                <w:sz w:val="20"/>
                <w:szCs w:val="20"/>
              </w:rPr>
              <w:t>Salus</w:t>
            </w:r>
            <w:proofErr w:type="spellEnd"/>
            <w:r w:rsidR="00A075A9">
              <w:rPr>
                <w:rFonts w:ascii="Arial" w:hAnsi="Arial" w:cs="Arial"/>
                <w:color w:val="0000FF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commented that </w:t>
            </w:r>
            <w:r w:rsidR="00DC296E">
              <w:rPr>
                <w:rFonts w:ascii="Arial" w:hAnsi="Arial" w:cs="Arial"/>
                <w:color w:val="0000FF"/>
                <w:sz w:val="20"/>
                <w:szCs w:val="20"/>
              </w:rPr>
              <w:t xml:space="preserve">label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durability</w:t>
            </w:r>
            <w:r w:rsidR="00DC296E">
              <w:rPr>
                <w:rFonts w:ascii="Arial" w:hAnsi="Arial" w:cs="Arial"/>
                <w:color w:val="0000FF"/>
                <w:sz w:val="20"/>
                <w:szCs w:val="20"/>
              </w:rPr>
              <w:t xml:space="preserve"> is more of a common sense, practical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DC296E">
              <w:rPr>
                <w:rFonts w:ascii="Arial" w:hAnsi="Arial" w:cs="Arial"/>
                <w:color w:val="0000FF"/>
                <w:sz w:val="20"/>
                <w:szCs w:val="20"/>
              </w:rPr>
              <w:t xml:space="preserve">application and is not seen as a requirement in S1. </w:t>
            </w:r>
            <w:r w:rsidR="003C1524" w:rsidRPr="003C1524">
              <w:rPr>
                <w:rFonts w:ascii="Arial" w:hAnsi="Arial" w:cs="Arial"/>
                <w:color w:val="0000FF"/>
                <w:sz w:val="20"/>
                <w:szCs w:val="20"/>
              </w:rPr>
              <w:t>Durability should not be a significant criteria.</w:t>
            </w:r>
            <w:r w:rsidR="003C1524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DC296E">
              <w:rPr>
                <w:rFonts w:ascii="Arial" w:hAnsi="Arial" w:cs="Arial"/>
                <w:color w:val="0000FF"/>
                <w:sz w:val="20"/>
                <w:szCs w:val="20"/>
              </w:rPr>
              <w:t xml:space="preserve">He added that calling out </w:t>
            </w:r>
            <w:r w:rsidR="00A075A9">
              <w:rPr>
                <w:rFonts w:ascii="Arial" w:hAnsi="Arial" w:cs="Arial"/>
                <w:color w:val="0000FF"/>
                <w:sz w:val="20"/>
                <w:szCs w:val="20"/>
              </w:rPr>
              <w:t xml:space="preserve">these standards would add extra burden. </w:t>
            </w:r>
            <w:r w:rsidR="00B8664F">
              <w:rPr>
                <w:rFonts w:ascii="Arial" w:hAnsi="Arial" w:cs="Arial"/>
                <w:color w:val="0000FF"/>
                <w:sz w:val="20"/>
                <w:szCs w:val="20"/>
              </w:rPr>
              <w:t>Finally, Chris stated that he</w:t>
            </w:r>
            <w:r w:rsidR="00A075A9">
              <w:rPr>
                <w:rFonts w:ascii="Arial" w:hAnsi="Arial" w:cs="Arial"/>
                <w:color w:val="0000FF"/>
                <w:sz w:val="20"/>
                <w:szCs w:val="20"/>
              </w:rPr>
              <w:t xml:space="preserve"> sees S1 as a good document.  </w:t>
            </w:r>
          </w:p>
          <w:p w:rsidR="003C1524" w:rsidRDefault="003C1524" w:rsidP="003C1524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01746B" w:rsidRDefault="00A075A9" w:rsidP="003C1524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Alan Crockett (KLA-Tencor) stated that, in his experience with wiping labels (using a solvent)</w:t>
            </w:r>
            <w:proofErr w:type="gramStart"/>
            <w:r>
              <w:rPr>
                <w:rFonts w:ascii="Arial" w:hAnsi="Arial" w:cs="Arial"/>
                <w:color w:val="0000FF"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he could see how adding additional information in S1 would be helpful. </w:t>
            </w:r>
            <w:r w:rsidR="003C1524">
              <w:rPr>
                <w:rFonts w:ascii="Arial" w:hAnsi="Arial" w:cs="Arial"/>
                <w:color w:val="0000FF"/>
                <w:sz w:val="20"/>
                <w:szCs w:val="20"/>
              </w:rPr>
              <w:t>He also pointed out that h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e has used labels that have been certified by standards. </w:t>
            </w:r>
            <w:r w:rsidR="008D5090">
              <w:rPr>
                <w:rFonts w:ascii="Arial" w:hAnsi="Arial" w:cs="Arial"/>
                <w:color w:val="0000FF"/>
                <w:sz w:val="20"/>
                <w:szCs w:val="20"/>
              </w:rPr>
              <w:t>Alan also stated that he has not received issues where these labels have introduced contamination issues.</w:t>
            </w:r>
          </w:p>
          <w:p w:rsidR="003C1524" w:rsidRDefault="003C1524" w:rsidP="003C1524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3C1524" w:rsidRPr="003C1524" w:rsidRDefault="003C1524" w:rsidP="003C1524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Sean Larsen clarified that the intent is not to have ISO certified labels, but more on guidance on basic tests that need to </w:t>
            </w:r>
            <w:r w:rsidRPr="003C1524">
              <w:rPr>
                <w:rFonts w:ascii="Arial" w:hAnsi="Arial" w:cs="Arial"/>
                <w:color w:val="0000FF"/>
                <w:sz w:val="20"/>
                <w:szCs w:val="20"/>
              </w:rPr>
              <w:t xml:space="preserve">be considered for different types of environments. S2 or S1 do not provide guidance on this.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Sean explained that he do</w:t>
            </w:r>
            <w:r w:rsidRPr="003C1524">
              <w:rPr>
                <w:rFonts w:ascii="Arial" w:hAnsi="Arial" w:cs="Arial"/>
                <w:color w:val="0000FF"/>
                <w:sz w:val="20"/>
                <w:szCs w:val="20"/>
              </w:rPr>
              <w:t>es not inten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d</w:t>
            </w:r>
            <w:r w:rsidRPr="003C1524">
              <w:rPr>
                <w:rFonts w:ascii="Arial" w:hAnsi="Arial" w:cs="Arial"/>
                <w:color w:val="0000FF"/>
                <w:sz w:val="20"/>
                <w:szCs w:val="20"/>
              </w:rPr>
              <w:t xml:space="preserve"> to have normative content,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but </w:t>
            </w:r>
            <w:r w:rsidRPr="003C1524">
              <w:rPr>
                <w:rFonts w:ascii="Arial" w:hAnsi="Arial" w:cs="Arial"/>
                <w:color w:val="0000FF"/>
                <w:sz w:val="20"/>
                <w:szCs w:val="20"/>
              </w:rPr>
              <w:t>more informative.</w:t>
            </w:r>
          </w:p>
          <w:p w:rsidR="003C1524" w:rsidRPr="003C1524" w:rsidRDefault="003C1524" w:rsidP="003C1524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3C1524" w:rsidRPr="003C1524" w:rsidRDefault="003C1524" w:rsidP="003C1524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 w:rsidRPr="003C1524">
              <w:rPr>
                <w:rFonts w:ascii="Arial" w:hAnsi="Arial" w:cs="Arial"/>
                <w:color w:val="0000FF"/>
                <w:sz w:val="20"/>
                <w:szCs w:val="20"/>
              </w:rPr>
              <w:t>Tou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Vang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(Lam Research) asked whether guidance is needed on the label adhesive or the label itself. Sean responded, “all of the above.”</w:t>
            </w:r>
          </w:p>
          <w:p w:rsidR="003C1524" w:rsidRDefault="003C1524" w:rsidP="003C1524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3C1524" w:rsidRPr="00D1734F" w:rsidRDefault="003C1524" w:rsidP="003C1524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It was also pointed out that there are requirements on the type of materials used for these labels.</w:t>
            </w:r>
          </w:p>
        </w:tc>
      </w:tr>
      <w:tr w:rsidR="000D62AF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62AF" w:rsidRPr="00D1734F" w:rsidRDefault="000D62A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62AF" w:rsidRPr="00D1734F" w:rsidRDefault="000D62AF" w:rsidP="004E1AB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62AF" w:rsidRPr="00D1734F" w:rsidRDefault="00FB61B2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7-4</w:t>
            </w:r>
          </w:p>
        </w:tc>
      </w:tr>
      <w:tr w:rsidR="00525759" w:rsidRPr="00D1734F">
        <w:trPr>
          <w:cantSplit/>
          <w:trHeight w:hRule="exact" w:val="53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525759" w:rsidRPr="00D1734F" w:rsidRDefault="00FB61B2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525759" w:rsidRPr="00807410" w:rsidRDefault="0052575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[Negative is related and persuasive]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25759" w:rsidRPr="00D1734F" w:rsidRDefault="00525759" w:rsidP="00C02F11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(E)</w:t>
            </w:r>
          </w:p>
        </w:tc>
      </w:tr>
      <w:tr w:rsidR="00525759" w:rsidRPr="00D1734F">
        <w:trPr>
          <w:cantSplit/>
          <w:trHeight w:hRule="exact" w:val="42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5759" w:rsidRPr="00D1734F" w:rsidRDefault="00525759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525759" w:rsidRPr="00D1734F" w:rsidRDefault="0052575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4961" w:type="dxa"/>
            <w:gridSpan w:val="6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5759" w:rsidRPr="00D1734F" w:rsidRDefault="00525759" w:rsidP="0052575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 is related and not persuasive] &lt; 2/3</w:t>
            </w:r>
          </w:p>
        </w:tc>
        <w:tc>
          <w:tcPr>
            <w:tcW w:w="20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525759" w:rsidRPr="00D1734F" w:rsidRDefault="00525759" w:rsidP="00C02F11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2F11" w:rsidRPr="00D1734F">
        <w:trPr>
          <w:cantSplit/>
          <w:trHeight w:hRule="exact" w:val="63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C02F11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F11" w:rsidRPr="00D1734F" w:rsidRDefault="00C02F1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2/3=&lt;[Negative is related and not persuasive] &lt;90%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D1734F" w:rsidRDefault="00C02F11" w:rsidP="00C02F11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="00431592"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31592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(C</w:t>
            </w:r>
            <w:r w:rsidR="00807410" w:rsidRPr="00B64A44">
              <w:rPr>
                <w:rFonts w:ascii="Arial" w:hAnsi="Arial" w:cs="Arial" w:hint="eastAsia"/>
                <w:b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C02F11" w:rsidRPr="00D1734F">
        <w:trPr>
          <w:cantSplit/>
          <w:trHeight w:val="676"/>
          <w:jc w:val="center"/>
        </w:trPr>
        <w:tc>
          <w:tcPr>
            <w:tcW w:w="3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2F11" w:rsidRPr="00D1734F" w:rsidRDefault="00C02F11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02F11" w:rsidRPr="00D1734F" w:rsidRDefault="00C02F11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02F11" w:rsidRPr="00807410" w:rsidRDefault="00525759" w:rsidP="008D1414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90%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&lt;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2F11" w:rsidRPr="00D1734F">
              <w:rPr>
                <w:rFonts w:ascii="Arial" w:hAnsi="Arial" w:cs="Arial"/>
                <w:sz w:val="20"/>
                <w:szCs w:val="20"/>
              </w:rPr>
              <w:t>[Negative is related and not persuasive]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02F11" w:rsidRPr="00C02F11" w:rsidRDefault="00C02F11" w:rsidP="00C02F11">
            <w:pPr>
              <w:suppressAutoHyphens w:val="0"/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807410" w:rsidRPr="00D1734F">
        <w:trPr>
          <w:cantSplit/>
          <w:trHeight w:hRule="exact" w:val="128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807410" w:rsidRPr="00D1734F" w:rsidRDefault="00807410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</w:t>
            </w:r>
          </w:p>
        </w:tc>
        <w:tc>
          <w:tcPr>
            <w:tcW w:w="903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FF6600"/>
                <w:sz w:val="21"/>
                <w:szCs w:val="21"/>
              </w:rPr>
              <w:t>This option can only be used “if the committee finds a negative not persuasive by a vote equal to or greater than 90% of the persons voting on the action”. (Regulations ¶  9.5.3.3.2)</w:t>
            </w:r>
          </w:p>
        </w:tc>
      </w:tr>
      <w:tr w:rsidR="00807410" w:rsidRPr="00D1734F">
        <w:trPr>
          <w:cantSplit/>
          <w:trHeight w:hRule="exact" w:val="44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410" w:rsidRPr="00AE3152" w:rsidRDefault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“not significant”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AE315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592"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 w:rsidR="00431592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</w:tr>
      <w:tr w:rsidR="00807410" w:rsidRPr="00D1734F">
        <w:trPr>
          <w:cantSplit/>
          <w:trHeight w:hRule="exact" w:val="43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410" w:rsidRPr="00AE3152" w:rsidRDefault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“significant”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AE315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4718F7"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718F7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(C)</w:t>
            </w:r>
          </w:p>
          <w:p w:rsidR="00807410" w:rsidRPr="00D1734F" w:rsidRDefault="00807410" w:rsidP="00AE3152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7410" w:rsidRPr="00D1734F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410" w:rsidRPr="00D1734F" w:rsidRDefault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The negative is “not significant”.</w:t>
            </w:r>
          </w:p>
        </w:tc>
      </w:tr>
      <w:tr w:rsidR="00807410" w:rsidRPr="00D1734F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807410" w:rsidRPr="00D1734F">
        <w:trPr>
          <w:cantSplit/>
          <w:trHeight w:val="361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AE3152" w:rsidRDefault="00807410" w:rsidP="0080741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  <w:tc>
          <w:tcPr>
            <w:tcW w:w="43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410" w:rsidRPr="00AE3152" w:rsidRDefault="00807410" w:rsidP="00807410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with simple majority</w:t>
            </w:r>
          </w:p>
        </w:tc>
        <w:tc>
          <w:tcPr>
            <w:tcW w:w="2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80741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4718F7"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718F7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(D)</w:t>
            </w:r>
          </w:p>
        </w:tc>
      </w:tr>
      <w:tr w:rsidR="00807410" w:rsidRPr="00D1734F">
        <w:trPr>
          <w:cantSplit/>
          <w:trHeight w:val="33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410" w:rsidRDefault="00807410" w:rsidP="0080741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05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07410" w:rsidRPr="00D1734F" w:rsidRDefault="00807410" w:rsidP="0080741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failed with simple majority</w:t>
            </w:r>
          </w:p>
        </w:tc>
        <w:tc>
          <w:tcPr>
            <w:tcW w:w="2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807410" w:rsidRPr="00D1734F" w:rsidRDefault="00807410" w:rsidP="00807410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="004718F7"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 w:rsidR="004718F7"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</w:t>
            </w:r>
            <w:r w:rsidRPr="00807410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208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is:</w:t>
            </w:r>
          </w:p>
        </w:tc>
      </w:tr>
      <w:tr w:rsidR="00807410" w:rsidRPr="00D1734F">
        <w:trPr>
          <w:cantSplit/>
          <w:trHeight w:hRule="exact" w:val="32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(A)</w:t>
            </w:r>
          </w:p>
        </w:tc>
        <w:tc>
          <w:tcPr>
            <w:tcW w:w="6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withdrawn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="004E1ABA" w:rsidRPr="009710DF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807410" w:rsidRPr="00D1734F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not related 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(counted under </w:t>
            </w:r>
            <w:proofErr w:type="spellStart"/>
            <w:r w:rsidR="004E1ABA" w:rsidRPr="009710DF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="004E1ABA"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807410" w:rsidRPr="00D1734F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(C)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not persuasive (significant)</w:t>
            </w:r>
          </w:p>
        </w:tc>
      </w:tr>
      <w:tr w:rsidR="00807410" w:rsidRPr="00D1734F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807410" w:rsidRPr="00D1734F" w:rsidRDefault="00807410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7410" w:rsidRPr="00D1734F" w:rsidRDefault="00807410" w:rsidP="008074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significant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="004E1ABA" w:rsidRPr="009710DF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4E1ABA"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431592" w:rsidRPr="00D1734F">
        <w:trPr>
          <w:cantSplit/>
          <w:trHeight w:hRule="exact" w:val="328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31592" w:rsidRPr="00D1734F" w:rsidRDefault="00431592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431592" w:rsidRPr="00D1734F" w:rsidRDefault="00FB61B2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1592" w:rsidRPr="00807410" w:rsidRDefault="00431592" w:rsidP="00807410">
            <w:pPr>
              <w:snapToGri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(E)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31592" w:rsidRPr="00807410" w:rsidRDefault="00431592" w:rsidP="00807410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persuasive</w:t>
            </w:r>
          </w:p>
        </w:tc>
        <w:tc>
          <w:tcPr>
            <w:tcW w:w="4062" w:type="dxa"/>
            <w:gridSpan w:val="5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1592" w:rsidRPr="00431592" w:rsidRDefault="00431592" w:rsidP="00431592">
            <w:pPr>
              <w:snapToGrid w:val="0"/>
              <w:ind w:left="134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431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DOCUMENT FAILS</w:t>
            </w:r>
          </w:p>
        </w:tc>
      </w:tr>
      <w:tr w:rsidR="0001746B" w:rsidRPr="00D1734F">
        <w:trPr>
          <w:cantSplit/>
          <w:trHeight w:val="373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Comment generated. See comment #x</w:t>
            </w:r>
          </w:p>
        </w:tc>
      </w:tr>
    </w:tbl>
    <w:p w:rsidR="0001746B" w:rsidRPr="00D1734F" w:rsidRDefault="0001746B" w:rsidP="00FB61B2"/>
    <w:p w:rsidR="0001746B" w:rsidRDefault="00FB61B2" w:rsidP="00FB61B2">
      <w:r>
        <w:t>Reject votes were also received from the following voters:</w:t>
      </w:r>
    </w:p>
    <w:p w:rsidR="00FB61B2" w:rsidRPr="00FB61B2" w:rsidRDefault="00FB61B2" w:rsidP="00FB61B2">
      <w:pPr>
        <w:pStyle w:val="ListParagraph"/>
        <w:numPr>
          <w:ilvl w:val="0"/>
          <w:numId w:val="2"/>
        </w:numPr>
        <w:rPr>
          <w:color w:val="0000FF"/>
        </w:rPr>
      </w:pPr>
      <w:r w:rsidRPr="00FB61B2">
        <w:rPr>
          <w:color w:val="0000FF"/>
        </w:rPr>
        <w:t>KLA-Tencor: Lauren Crane</w:t>
      </w:r>
    </w:p>
    <w:p w:rsidR="0001746B" w:rsidRDefault="0001746B" w:rsidP="00FB61B2"/>
    <w:p w:rsidR="00FB61B2" w:rsidRPr="00D1734F" w:rsidRDefault="00FB61B2" w:rsidP="00FB61B2"/>
    <w:p w:rsidR="0001746B" w:rsidRPr="00D1734F" w:rsidRDefault="0001746B">
      <w:pPr>
        <w:pStyle w:val="ARHeading1"/>
        <w:rPr>
          <w:rFonts w:ascii="Arial" w:hAnsi="Arial" w:cs="Arial"/>
          <w:color w:val="333399"/>
          <w:sz w:val="32"/>
          <w:szCs w:val="32"/>
        </w:rPr>
      </w:pPr>
      <w:r w:rsidRPr="00D1734F">
        <w:rPr>
          <w:rFonts w:ascii="Arial" w:hAnsi="Arial" w:cs="Arial"/>
          <w:color w:val="333399"/>
          <w:sz w:val="32"/>
          <w:szCs w:val="32"/>
        </w:rPr>
        <w:t>IV. Comments</w:t>
      </w:r>
    </w:p>
    <w:p w:rsidR="00377076" w:rsidRDefault="00FB61B2" w:rsidP="00FB61B2">
      <w:r>
        <w:t>Comments were received from the following voters:</w:t>
      </w:r>
    </w:p>
    <w:p w:rsidR="00FB61B2" w:rsidRPr="00FB61B2" w:rsidRDefault="00FB61B2" w:rsidP="00FB61B2">
      <w:pPr>
        <w:pStyle w:val="ListParagraph"/>
        <w:numPr>
          <w:ilvl w:val="0"/>
          <w:numId w:val="2"/>
        </w:numPr>
        <w:rPr>
          <w:color w:val="0000FF"/>
        </w:rPr>
      </w:pPr>
      <w:r w:rsidRPr="00FB61B2">
        <w:rPr>
          <w:color w:val="0000FF"/>
        </w:rPr>
        <w:t>ASML: Bert Planting</w:t>
      </w:r>
    </w:p>
    <w:p w:rsidR="00FB61B2" w:rsidRPr="00FB61B2" w:rsidRDefault="00FB61B2" w:rsidP="00FB61B2">
      <w:pPr>
        <w:pStyle w:val="ListParagraph"/>
        <w:numPr>
          <w:ilvl w:val="0"/>
          <w:numId w:val="2"/>
        </w:numPr>
        <w:rPr>
          <w:color w:val="0000FF"/>
        </w:rPr>
      </w:pPr>
      <w:proofErr w:type="spellStart"/>
      <w:r w:rsidRPr="00FB61B2">
        <w:rPr>
          <w:color w:val="0000FF"/>
        </w:rPr>
        <w:t>Cymer</w:t>
      </w:r>
      <w:proofErr w:type="spellEnd"/>
      <w:r w:rsidRPr="00FB61B2">
        <w:rPr>
          <w:color w:val="0000FF"/>
        </w:rPr>
        <w:t xml:space="preserve">: Byron </w:t>
      </w:r>
      <w:proofErr w:type="spellStart"/>
      <w:r w:rsidRPr="00FB61B2">
        <w:rPr>
          <w:color w:val="0000FF"/>
        </w:rPr>
        <w:t>Yakimow</w:t>
      </w:r>
      <w:proofErr w:type="spellEnd"/>
    </w:p>
    <w:p w:rsidR="00FB61B2" w:rsidRDefault="00FB61B2" w:rsidP="00FB61B2"/>
    <w:p w:rsidR="00FB61B2" w:rsidRPr="00D1734F" w:rsidRDefault="00FB61B2" w:rsidP="00FB61B2"/>
    <w:p w:rsidR="0001746B" w:rsidRPr="00D1734F" w:rsidRDefault="00C23BE3">
      <w:pPr>
        <w:pStyle w:val="ARHeading1"/>
        <w:rPr>
          <w:rFonts w:ascii="Arial" w:hAnsi="Arial" w:cs="Arial"/>
          <w:color w:val="333399"/>
          <w:sz w:val="32"/>
          <w:szCs w:val="32"/>
        </w:rPr>
      </w:pPr>
      <w:r>
        <w:rPr>
          <w:rFonts w:ascii="Arial" w:hAnsi="Arial" w:cs="Arial"/>
          <w:color w:val="333399"/>
          <w:sz w:val="32"/>
          <w:szCs w:val="32"/>
        </w:rPr>
        <w:t>V</w:t>
      </w:r>
      <w:bookmarkStart w:id="1" w:name="_GoBack"/>
      <w:bookmarkEnd w:id="1"/>
      <w:r w:rsidR="0001746B" w:rsidRPr="00D1734F">
        <w:rPr>
          <w:rFonts w:ascii="Arial" w:hAnsi="Arial" w:cs="Arial"/>
          <w:color w:val="333399"/>
          <w:sz w:val="32"/>
          <w:szCs w:val="32"/>
        </w:rPr>
        <w:t>. Action for this document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"/>
        <w:gridCol w:w="356"/>
        <w:gridCol w:w="1052"/>
        <w:gridCol w:w="356"/>
        <w:gridCol w:w="7341"/>
      </w:tblGrid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extDirection w:val="tbRlV"/>
            <w:vAlign w:val="center"/>
          </w:tcPr>
          <w:p w:rsidR="0001746B" w:rsidRPr="00D1734F" w:rsidRDefault="0001746B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Motion 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as balloted and will be forwarded to the A&amp;R for procedural review.</w:t>
            </w:r>
          </w:p>
        </w:tc>
      </w:tr>
      <w:tr w:rsidR="0001746B" w:rsidRPr="00D1734F">
        <w:trPr>
          <w:cantSplit/>
          <w:trHeight w:hRule="exact" w:val="572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passed committee review with editorial changes and will be forwarded to the A&amp;R for procedural review.</w:t>
            </w:r>
          </w:p>
        </w:tc>
      </w:tr>
      <w:tr w:rsidR="0001746B" w:rsidRPr="00D1734F">
        <w:trPr>
          <w:cantSplit/>
          <w:trHeight w:hRule="exact" w:val="320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FB61B2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x</w:t>
            </w: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will be returned to the task force for rework.</w:t>
            </w:r>
          </w:p>
        </w:tc>
      </w:tr>
      <w:tr w:rsidR="0001746B" w:rsidRPr="00D1734F">
        <w:trPr>
          <w:cantSplit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7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This document failed committee review and work will be discontinued.</w:t>
            </w:r>
          </w:p>
        </w:tc>
      </w:tr>
      <w:tr w:rsidR="0001746B" w:rsidRPr="00D1734F">
        <w:trPr>
          <w:cantSplit/>
          <w:trHeight w:val="188"/>
          <w:jc w:val="center"/>
        </w:trPr>
        <w:tc>
          <w:tcPr>
            <w:tcW w:w="1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Motion by/2nd by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2A1F7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Chris Evanston (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Salus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>) / Ron Macklin (Macklin &amp; Associates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01746B" w:rsidRPr="00D1734F">
        <w:trPr>
          <w:cantSplit/>
          <w:trHeight w:val="242"/>
          <w:jc w:val="center"/>
        </w:trPr>
        <w:tc>
          <w:tcPr>
            <w:tcW w:w="1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2A1F78" w:rsidP="002A1F7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2A1F78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9-0</w:t>
            </w:r>
            <w:r w:rsidR="0001746B"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01746B" w:rsidRPr="00D1734F">
        <w:trPr>
          <w:cantSplit/>
          <w:trHeight w:hRule="exact" w:val="296"/>
          <w:jc w:val="center"/>
        </w:trPr>
        <w:tc>
          <w:tcPr>
            <w:tcW w:w="169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Final Action</w:t>
            </w:r>
          </w:p>
        </w:tc>
        <w:tc>
          <w:tcPr>
            <w:tcW w:w="35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CCFFFF"/>
            <w:vAlign w:val="center"/>
          </w:tcPr>
          <w:p w:rsidR="0001746B" w:rsidRPr="00D1734F" w:rsidRDefault="002A1F78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73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01746B" w:rsidRPr="00D1734F">
        <w:trPr>
          <w:cantSplit/>
          <w:jc w:val="center"/>
        </w:trPr>
        <w:tc>
          <w:tcPr>
            <w:tcW w:w="1693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CFFFF"/>
            <w:vAlign w:val="center"/>
          </w:tcPr>
          <w:p w:rsidR="0001746B" w:rsidRPr="00D1734F" w:rsidRDefault="0001746B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734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746B" w:rsidRPr="00D1734F" w:rsidRDefault="0001746B">
            <w:pPr>
              <w:snapToGrid w:val="0"/>
              <w:ind w:left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Motion failed </w:t>
            </w:r>
          </w:p>
        </w:tc>
      </w:tr>
    </w:tbl>
    <w:p w:rsidR="0001746B" w:rsidRPr="00D1734F" w:rsidRDefault="0001746B">
      <w:pPr>
        <w:pStyle w:val="BallotReviewText"/>
        <w:rPr>
          <w:rFonts w:ascii="Arial" w:hAnsi="Arial" w:cs="Arial"/>
        </w:rPr>
      </w:pPr>
    </w:p>
    <w:sectPr w:rsidR="0001746B" w:rsidRPr="00D1734F" w:rsidSect="00A35C5A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3A6" w:rsidRDefault="00D873A6">
      <w:r>
        <w:separator/>
      </w:r>
    </w:p>
  </w:endnote>
  <w:endnote w:type="continuationSeparator" w:id="0">
    <w:p w:rsidR="00D873A6" w:rsidRDefault="00D8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Nimbus Sans L">
    <w:altName w:val="Arial"/>
    <w:charset w:val="00"/>
    <w:family w:val="auto"/>
    <w:pitch w:val="variable"/>
  </w:font>
  <w:font w:name="HG Mincho Light J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3A6" w:rsidRDefault="00D873A6">
      <w:r>
        <w:separator/>
      </w:r>
    </w:p>
  </w:footnote>
  <w:footnote w:type="continuationSeparator" w:id="0">
    <w:p w:rsidR="00D873A6" w:rsidRDefault="00D8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7916AE"/>
    <w:multiLevelType w:val="hybridMultilevel"/>
    <w:tmpl w:val="0106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13"/>
    <w:rsid w:val="00000935"/>
    <w:rsid w:val="0001746B"/>
    <w:rsid w:val="00022143"/>
    <w:rsid w:val="00023A3C"/>
    <w:rsid w:val="00095FCC"/>
    <w:rsid w:val="00097DCC"/>
    <w:rsid w:val="000D1123"/>
    <w:rsid w:val="000D62AF"/>
    <w:rsid w:val="001106F3"/>
    <w:rsid w:val="001155AC"/>
    <w:rsid w:val="00152946"/>
    <w:rsid w:val="001648C4"/>
    <w:rsid w:val="0019417F"/>
    <w:rsid w:val="001A4649"/>
    <w:rsid w:val="001A4A50"/>
    <w:rsid w:val="001C0A0C"/>
    <w:rsid w:val="001D3D1E"/>
    <w:rsid w:val="00237BEF"/>
    <w:rsid w:val="0024230D"/>
    <w:rsid w:val="00251B71"/>
    <w:rsid w:val="002A1F78"/>
    <w:rsid w:val="002D768A"/>
    <w:rsid w:val="00341432"/>
    <w:rsid w:val="0035692C"/>
    <w:rsid w:val="00377076"/>
    <w:rsid w:val="003840DC"/>
    <w:rsid w:val="00393891"/>
    <w:rsid w:val="00393D81"/>
    <w:rsid w:val="003A2693"/>
    <w:rsid w:val="003C1524"/>
    <w:rsid w:val="003E6B42"/>
    <w:rsid w:val="003F047B"/>
    <w:rsid w:val="00415707"/>
    <w:rsid w:val="00431592"/>
    <w:rsid w:val="00452726"/>
    <w:rsid w:val="004718F7"/>
    <w:rsid w:val="004732E5"/>
    <w:rsid w:val="00487108"/>
    <w:rsid w:val="004A228B"/>
    <w:rsid w:val="004B2C53"/>
    <w:rsid w:val="004E1ABA"/>
    <w:rsid w:val="004F4388"/>
    <w:rsid w:val="00510659"/>
    <w:rsid w:val="0051132D"/>
    <w:rsid w:val="00525759"/>
    <w:rsid w:val="00543F4C"/>
    <w:rsid w:val="00550DB9"/>
    <w:rsid w:val="005A2629"/>
    <w:rsid w:val="005A4033"/>
    <w:rsid w:val="005C7353"/>
    <w:rsid w:val="00625D1F"/>
    <w:rsid w:val="00647237"/>
    <w:rsid w:val="00671DD3"/>
    <w:rsid w:val="00682EB7"/>
    <w:rsid w:val="0068765A"/>
    <w:rsid w:val="006E10CF"/>
    <w:rsid w:val="006F4732"/>
    <w:rsid w:val="006F728E"/>
    <w:rsid w:val="007438F7"/>
    <w:rsid w:val="007456D4"/>
    <w:rsid w:val="0076418D"/>
    <w:rsid w:val="0079300E"/>
    <w:rsid w:val="007D1BCA"/>
    <w:rsid w:val="007E1088"/>
    <w:rsid w:val="00807410"/>
    <w:rsid w:val="008174B8"/>
    <w:rsid w:val="00833BEC"/>
    <w:rsid w:val="0084093B"/>
    <w:rsid w:val="00863CB8"/>
    <w:rsid w:val="008B6668"/>
    <w:rsid w:val="008B66FA"/>
    <w:rsid w:val="008B6960"/>
    <w:rsid w:val="008D1414"/>
    <w:rsid w:val="008D5090"/>
    <w:rsid w:val="00933F39"/>
    <w:rsid w:val="00947F48"/>
    <w:rsid w:val="009543D6"/>
    <w:rsid w:val="009710DF"/>
    <w:rsid w:val="009A4196"/>
    <w:rsid w:val="009B78AE"/>
    <w:rsid w:val="009C01EF"/>
    <w:rsid w:val="009D4309"/>
    <w:rsid w:val="009E4E7C"/>
    <w:rsid w:val="00A017D5"/>
    <w:rsid w:val="00A075A9"/>
    <w:rsid w:val="00A20CB0"/>
    <w:rsid w:val="00A35C5A"/>
    <w:rsid w:val="00A36E2A"/>
    <w:rsid w:val="00A52F81"/>
    <w:rsid w:val="00A54C5B"/>
    <w:rsid w:val="00A660A7"/>
    <w:rsid w:val="00A75FBC"/>
    <w:rsid w:val="00A85B49"/>
    <w:rsid w:val="00AB1FA9"/>
    <w:rsid w:val="00AC0D33"/>
    <w:rsid w:val="00AE3152"/>
    <w:rsid w:val="00AE6243"/>
    <w:rsid w:val="00AE75EF"/>
    <w:rsid w:val="00B2287D"/>
    <w:rsid w:val="00B27D13"/>
    <w:rsid w:val="00B35369"/>
    <w:rsid w:val="00B45649"/>
    <w:rsid w:val="00B47911"/>
    <w:rsid w:val="00B525F2"/>
    <w:rsid w:val="00B64A44"/>
    <w:rsid w:val="00B8664F"/>
    <w:rsid w:val="00BB2B74"/>
    <w:rsid w:val="00BB2D97"/>
    <w:rsid w:val="00BF3369"/>
    <w:rsid w:val="00C02F11"/>
    <w:rsid w:val="00C10397"/>
    <w:rsid w:val="00C23BE3"/>
    <w:rsid w:val="00C360A5"/>
    <w:rsid w:val="00C37D83"/>
    <w:rsid w:val="00C92E53"/>
    <w:rsid w:val="00D07EBC"/>
    <w:rsid w:val="00D1734F"/>
    <w:rsid w:val="00D42EA6"/>
    <w:rsid w:val="00D63220"/>
    <w:rsid w:val="00D873A6"/>
    <w:rsid w:val="00D90680"/>
    <w:rsid w:val="00D91C72"/>
    <w:rsid w:val="00DA2582"/>
    <w:rsid w:val="00DA39E9"/>
    <w:rsid w:val="00DA4DBC"/>
    <w:rsid w:val="00DA771B"/>
    <w:rsid w:val="00DC296E"/>
    <w:rsid w:val="00E03382"/>
    <w:rsid w:val="00E12864"/>
    <w:rsid w:val="00E146F5"/>
    <w:rsid w:val="00E347D4"/>
    <w:rsid w:val="00E54DF9"/>
    <w:rsid w:val="00E66484"/>
    <w:rsid w:val="00E75510"/>
    <w:rsid w:val="00E80F26"/>
    <w:rsid w:val="00E939F8"/>
    <w:rsid w:val="00EC40D9"/>
    <w:rsid w:val="00ED68D8"/>
    <w:rsid w:val="00EF3711"/>
    <w:rsid w:val="00F03006"/>
    <w:rsid w:val="00F16D6B"/>
    <w:rsid w:val="00F2109E"/>
    <w:rsid w:val="00F42697"/>
    <w:rsid w:val="00F443DE"/>
    <w:rsid w:val="00F65533"/>
    <w:rsid w:val="00FB40BC"/>
    <w:rsid w:val="00FB61B2"/>
    <w:rsid w:val="00FB670D"/>
    <w:rsid w:val="00FE75A5"/>
    <w:rsid w:val="00FF0D3C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customStyle="1" w:styleId="CommentReference1">
    <w:name w:val="Comment Reference1"/>
    <w:basedOn w:val="DefaultParagraphFont1"/>
    <w:rPr>
      <w:sz w:val="18"/>
      <w:szCs w:val="18"/>
    </w:rPr>
  </w:style>
  <w:style w:type="character" w:customStyle="1" w:styleId="2Char">
    <w:name w:val="見出し 2 Char"/>
    <w:basedOn w:val="DefaultParagraphFont1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basedOn w:val="DefaultParagraphFont1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ListParagraph">
    <w:name w:val="List Paragraph"/>
    <w:basedOn w:val="Normal"/>
    <w:uiPriority w:val="34"/>
    <w:qFormat/>
    <w:rsid w:val="00FB6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07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autoSpaceDE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15" w:right="108"/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autoSpaceDE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FF0000"/>
      <w:sz w:val="22"/>
    </w:rPr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customStyle="1" w:styleId="CommentReference1">
    <w:name w:val="Comment Reference1"/>
    <w:basedOn w:val="DefaultParagraphFont1"/>
    <w:rPr>
      <w:sz w:val="18"/>
      <w:szCs w:val="18"/>
    </w:rPr>
  </w:style>
  <w:style w:type="character" w:customStyle="1" w:styleId="2Char">
    <w:name w:val="見出し 2 Char"/>
    <w:basedOn w:val="DefaultParagraphFont1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ar-SA" w:bidi="ar-SA"/>
    </w:rPr>
  </w:style>
  <w:style w:type="character" w:customStyle="1" w:styleId="RegsH3TextChar">
    <w:name w:val="Regs H3 Text Char"/>
    <w:basedOn w:val="DefaultParagraphFont1"/>
    <w:rPr>
      <w:rFonts w:ascii="Bembo Std" w:eastAsia="MS Mincho" w:hAnsi="Bembo Std" w:cs="Bembo Std"/>
      <w:lang w:val="en-US" w:eastAsia="ar-SA" w:bidi="ar-SA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BodyText">
    <w:name w:val="Body Text"/>
    <w:basedOn w:val="Normal"/>
    <w:rPr>
      <w:sz w:val="22"/>
      <w:szCs w:val="20"/>
    </w:rPr>
  </w:style>
  <w:style w:type="paragraph" w:styleId="List">
    <w:name w:val="List"/>
    <w:basedOn w:val="BodyText"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uppressAutoHyphens/>
      <w:spacing w:before="60" w:after="60"/>
      <w:jc w:val="both"/>
    </w:pPr>
    <w:rPr>
      <w:sz w:val="18"/>
      <w:lang w:eastAsia="ar-SA"/>
    </w:rPr>
  </w:style>
  <w:style w:type="paragraph" w:customStyle="1" w:styleId="Bullet1">
    <w:name w:val="Bullet1"/>
    <w:pPr>
      <w:tabs>
        <w:tab w:val="left" w:pos="360"/>
      </w:tabs>
      <w:suppressAutoHyphens/>
      <w:spacing w:before="60" w:after="60"/>
      <w:ind w:left="360" w:hanging="288"/>
      <w:jc w:val="both"/>
    </w:pPr>
    <w:rPr>
      <w:lang w:eastAsia="ar-SA"/>
    </w:rPr>
  </w:style>
  <w:style w:type="paragraph" w:customStyle="1" w:styleId="AppendixHeading1">
    <w:name w:val="Appendix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DocumentNumber">
    <w:name w:val="Document Number"/>
    <w:next w:val="Normal"/>
    <w:pPr>
      <w:suppressAutoHyphens/>
    </w:pPr>
    <w:rPr>
      <w:rFonts w:ascii="Arial" w:eastAsia="MS Gothic" w:hAnsi="Arial"/>
      <w:b/>
      <w:sz w:val="28"/>
      <w:lang w:eastAsia="ar-SA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  <w:lang w:eastAsia="ar-SA"/>
    </w:rPr>
  </w:style>
  <w:style w:type="paragraph" w:customStyle="1" w:styleId="TableTitle">
    <w:name w:val="Table Title"/>
    <w:pPr>
      <w:keepNext/>
      <w:tabs>
        <w:tab w:val="left" w:pos="3600"/>
      </w:tabs>
      <w:suppressAutoHyphens/>
      <w:spacing w:before="120" w:after="60"/>
      <w:ind w:left="3600" w:hanging="360"/>
    </w:pPr>
    <w:rPr>
      <w:rFonts w:ascii="Arial" w:hAnsi="Arial"/>
      <w:b/>
      <w:sz w:val="18"/>
      <w:lang w:eastAsia="ar-SA"/>
    </w:rPr>
  </w:style>
  <w:style w:type="paragraph" w:customStyle="1" w:styleId="AppendixTableTitle">
    <w:name w:val="Appendix Table Title"/>
    <w:basedOn w:val="TableTitle"/>
    <w:next w:val="Normal"/>
    <w:pPr>
      <w:ind w:left="0" w:firstLine="0"/>
    </w:pPr>
  </w:style>
  <w:style w:type="paragraph" w:customStyle="1" w:styleId="RelatedInfoHeading1">
    <w:name w:val="Related Info Heading 1"/>
    <w:basedOn w:val="Heading1"/>
    <w:next w:val="Normal"/>
    <w:pPr>
      <w:numPr>
        <w:numId w:val="0"/>
      </w:numPr>
      <w:spacing w:before="160" w:after="6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numPr>
        <w:numId w:val="0"/>
      </w:numPr>
      <w:autoSpaceDE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numPr>
        <w:numId w:val="0"/>
      </w:numPr>
      <w:spacing w:before="60" w:after="6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numPr>
        <w:numId w:val="0"/>
      </w:numPr>
      <w:spacing w:before="60" w:after="6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numPr>
        <w:numId w:val="0"/>
      </w:numPr>
      <w:autoSpaceDE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ind w:left="0" w:firstLine="0"/>
    </w:pPr>
  </w:style>
  <w:style w:type="paragraph" w:customStyle="1" w:styleId="1">
    <w:name w:val="吹き出し1"/>
    <w:basedOn w:val="Normal"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numPr>
        <w:numId w:val="0"/>
      </w:numPr>
      <w:spacing w:before="160" w:after="60"/>
      <w:outlineLvl w:val="9"/>
    </w:pPr>
    <w:rPr>
      <w:rFonts w:ascii="Arial" w:hAnsi="Arial"/>
      <w:kern w:val="1"/>
      <w:sz w:val="20"/>
    </w:rPr>
  </w:style>
  <w:style w:type="paragraph" w:customStyle="1" w:styleId="ListBullet1">
    <w:name w:val="List Bullet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Bullet21">
    <w:name w:val="List Bullet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Bullet31">
    <w:name w:val="List Bullet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Bullet41">
    <w:name w:val="List Bullet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Bullet51">
    <w:name w:val="List Bullet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ListNumber1">
    <w:name w:val="List Number1"/>
    <w:basedOn w:val="Normal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ListNumber21">
    <w:name w:val="List Number 21"/>
    <w:basedOn w:val="Normal"/>
    <w:pPr>
      <w:tabs>
        <w:tab w:val="left" w:pos="720"/>
      </w:tabs>
      <w:ind w:left="720" w:hanging="360"/>
    </w:pPr>
    <w:rPr>
      <w:sz w:val="20"/>
      <w:szCs w:val="20"/>
    </w:rPr>
  </w:style>
  <w:style w:type="paragraph" w:customStyle="1" w:styleId="ListNumber31">
    <w:name w:val="List Number 31"/>
    <w:basedOn w:val="Normal"/>
    <w:pPr>
      <w:tabs>
        <w:tab w:val="left" w:pos="1080"/>
      </w:tabs>
      <w:ind w:left="1080" w:hanging="360"/>
    </w:pPr>
    <w:rPr>
      <w:sz w:val="20"/>
      <w:szCs w:val="20"/>
    </w:rPr>
  </w:style>
  <w:style w:type="paragraph" w:customStyle="1" w:styleId="ListNumber41">
    <w:name w:val="List Number 41"/>
    <w:basedOn w:val="Normal"/>
    <w:pPr>
      <w:tabs>
        <w:tab w:val="left" w:pos="1440"/>
      </w:tabs>
      <w:ind w:left="1440" w:hanging="360"/>
    </w:pPr>
    <w:rPr>
      <w:sz w:val="20"/>
      <w:szCs w:val="20"/>
    </w:rPr>
  </w:style>
  <w:style w:type="paragraph" w:customStyle="1" w:styleId="ListNumber51">
    <w:name w:val="List Number 51"/>
    <w:basedOn w:val="Normal"/>
    <w:pPr>
      <w:tabs>
        <w:tab w:val="left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1"/>
      <w:sz w:val="21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1"/>
      <w:sz w:val="21"/>
    </w:rPr>
  </w:style>
  <w:style w:type="paragraph" w:customStyle="1" w:styleId="NormalIndent1">
    <w:name w:val="Normal Indent1"/>
    <w:basedOn w:val="Normal"/>
    <w:pPr>
      <w:ind w:left="720"/>
    </w:pPr>
    <w:rPr>
      <w:sz w:val="20"/>
      <w:szCs w:val="20"/>
    </w:rPr>
  </w:style>
  <w:style w:type="paragraph" w:customStyle="1" w:styleId="Bullet10">
    <w:name w:val="Bullet 1"/>
    <w:basedOn w:val="NormalIndent1"/>
    <w:pPr>
      <w:widowControl w:val="0"/>
      <w:tabs>
        <w:tab w:val="left" w:pos="360"/>
      </w:tabs>
      <w:ind w:left="360" w:hanging="360"/>
      <w:jc w:val="both"/>
    </w:pPr>
    <w:rPr>
      <w:kern w:val="1"/>
      <w:sz w:val="22"/>
    </w:rPr>
  </w:style>
  <w:style w:type="paragraph" w:customStyle="1" w:styleId="Homework">
    <w:name w:val="Homework"/>
    <w:basedOn w:val="Normal"/>
    <w:pPr>
      <w:tabs>
        <w:tab w:val="left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customStyle="1" w:styleId="BodyText21">
    <w:name w:val="Body Text 21"/>
    <w:basedOn w:val="Normal"/>
    <w:rPr>
      <w:sz w:val="20"/>
    </w:rPr>
  </w:style>
  <w:style w:type="paragraph" w:customStyle="1" w:styleId="BlockText1">
    <w:name w:val="Block Text1"/>
    <w:basedOn w:val="Normal"/>
    <w:pPr>
      <w:spacing w:line="240" w:lineRule="atLeast"/>
      <w:ind w:left="108" w:right="108"/>
    </w:pPr>
    <w:rPr>
      <w:sz w:val="20"/>
    </w:rPr>
  </w:style>
  <w:style w:type="paragraph" w:customStyle="1" w:styleId="BodyText31">
    <w:name w:val="Body Text 31"/>
    <w:basedOn w:val="Normal"/>
    <w:pPr>
      <w:autoSpaceDE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uppressAutoHyphens/>
      <w:spacing w:after="40"/>
    </w:pPr>
    <w:rPr>
      <w:sz w:val="16"/>
      <w:lang w:eastAsia="ar-SA"/>
    </w:rPr>
  </w:style>
  <w:style w:type="paragraph" w:customStyle="1" w:styleId="PlainText1">
    <w:name w:val="Plain Text1"/>
    <w:basedOn w:val="Normal"/>
    <w:rPr>
      <w:rFonts w:ascii="Courier New" w:hAnsi="Courier New" w:cs="Courier New"/>
      <w:sz w:val="20"/>
      <w:szCs w:val="20"/>
    </w:rPr>
  </w:style>
  <w:style w:type="paragraph" w:customStyle="1" w:styleId="BodyTextIndent21">
    <w:name w:val="Body Text Indent 21"/>
    <w:basedOn w:val="Normal"/>
    <w:pPr>
      <w:keepNext/>
      <w:keepLines/>
      <w:autoSpaceDE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styleId="BalloonText">
    <w:name w:val="Balloon Text"/>
    <w:basedOn w:val="Normal"/>
    <w:rPr>
      <w:rFonts w:ascii="Arial" w:eastAsia="MS Gothic" w:hAnsi="Arial"/>
      <w:sz w:val="16"/>
      <w:szCs w:val="16"/>
    </w:rPr>
  </w:style>
  <w:style w:type="paragraph" w:customStyle="1" w:styleId="MarkLevel1">
    <w:name w:val="Mark Level 1"/>
    <w:pPr>
      <w:suppressAutoHyphens/>
      <w:spacing w:before="120" w:after="60" w:line="240" w:lineRule="atLeast"/>
    </w:pPr>
    <w:rPr>
      <w:rFonts w:ascii="Arial" w:eastAsia="MS PGothic" w:hAnsi="Arial"/>
      <w:sz w:val="22"/>
      <w:lang w:eastAsia="ar-SA"/>
    </w:rPr>
  </w:style>
  <w:style w:type="paragraph" w:customStyle="1" w:styleId="CommentText1">
    <w:name w:val="Comment Text1"/>
    <w:basedOn w:val="Normal"/>
  </w:style>
  <w:style w:type="paragraph" w:customStyle="1" w:styleId="10">
    <w:name w:val="コメント内容1"/>
    <w:basedOn w:val="CommentText1"/>
    <w:next w:val="CommentText1"/>
    <w:rPr>
      <w:b/>
      <w:bCs/>
    </w:rPr>
  </w:style>
  <w:style w:type="paragraph" w:customStyle="1" w:styleId="ARHeading1">
    <w:name w:val="A&amp;R Heading 1"/>
    <w:basedOn w:val="Heading1"/>
    <w:pPr>
      <w:numPr>
        <w:numId w:val="0"/>
      </w:numPr>
      <w:outlineLvl w:val="9"/>
    </w:pPr>
    <w:rPr>
      <w:szCs w:val="24"/>
    </w:rPr>
  </w:style>
  <w:style w:type="paragraph" w:customStyle="1" w:styleId="ARSubheading1">
    <w:name w:val="A&amp;R Subheading 1"/>
    <w:basedOn w:val="Heading2"/>
    <w:pPr>
      <w:numPr>
        <w:numId w:val="0"/>
      </w:numPr>
      <w:outlineLvl w:val="9"/>
    </w:pPr>
    <w:rPr>
      <w:rFonts w:ascii="Times New Roman" w:hAnsi="Times New Roman"/>
    </w:rPr>
  </w:style>
  <w:style w:type="paragraph" w:customStyle="1" w:styleId="ARSubheading2">
    <w:name w:val="A&amp;R Subheading 2"/>
    <w:basedOn w:val="Heading3"/>
    <w:pPr>
      <w:numPr>
        <w:numId w:val="0"/>
      </w:numPr>
      <w:outlineLvl w:val="9"/>
    </w:pPr>
    <w:rPr>
      <w:sz w:val="24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</w:p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 w:cs="Bembo Std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6876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5A4033"/>
    <w:pPr>
      <w:tabs>
        <w:tab w:val="center" w:pos="4153"/>
        <w:tab w:val="right" w:pos="8306"/>
      </w:tabs>
      <w:snapToGrid w:val="0"/>
    </w:pPr>
  </w:style>
  <w:style w:type="paragraph" w:styleId="ListParagraph">
    <w:name w:val="List Paragraph"/>
    <w:basedOn w:val="Normal"/>
    <w:uiPriority w:val="34"/>
    <w:qFormat/>
    <w:rsid w:val="00FB6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A&amp;R Template 4.4</vt:lpstr>
    </vt:vector>
  </TitlesOfParts>
  <Company>SEMI Japan</Company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A&amp;R Template 4.4</dc:title>
  <dc:creator>SEMI</dc:creator>
  <cp:lastModifiedBy>Paul Trio</cp:lastModifiedBy>
  <cp:revision>9</cp:revision>
  <cp:lastPrinted>2008-07-21T17:49:00Z</cp:lastPrinted>
  <dcterms:created xsi:type="dcterms:W3CDTF">2013-04-15T22:21:00Z</dcterms:created>
  <dcterms:modified xsi:type="dcterms:W3CDTF">2013-04-15T23:56:00Z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[A&amp;R SC]  Template updated (appreciate your comments!!)</vt:lpwstr>
  </property>
  <property fmtid="{D5CDD505-2E9C-101B-9397-08002B2CF9AE}" pid="3" name="_AuthorEmail">
    <vt:lpwstr>jack.martinez@nist.gov</vt:lpwstr>
  </property>
  <property fmtid="{D5CDD505-2E9C-101B-9397-08002B2CF9AE}" pid="4" name="_AuthorEmailDisplayName">
    <vt:lpwstr>Jack Martinez</vt:lpwstr>
  </property>
  <property fmtid="{D5CDD505-2E9C-101B-9397-08002B2CF9AE}" pid="5" name="_AdHocReviewCycleID">
    <vt:i4>1624694526</vt:i4>
  </property>
  <property fmtid="{D5CDD505-2E9C-101B-9397-08002B2CF9AE}" pid="6" name="_ReviewingToolsShownOnce">
    <vt:lpwstr/>
  </property>
</Properties>
</file>