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43784B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01746B" w:rsidRPr="00D1734F" w:rsidRDefault="00000935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</w:t>
      </w:r>
      <w:r w:rsidR="00B407DB">
        <w:rPr>
          <w:rFonts w:cs="Arial"/>
          <w:color w:val="333399"/>
          <w:sz w:val="32"/>
          <w:szCs w:val="32"/>
        </w:rPr>
        <w:t>3</w:t>
      </w:r>
      <w:r w:rsidR="0001746B" w:rsidRPr="00D1734F">
        <w:rPr>
          <w:rFonts w:cs="Arial"/>
          <w:color w:val="333399"/>
          <w:sz w:val="32"/>
          <w:szCs w:val="32"/>
        </w:rPr>
        <w:t xml:space="preserve"> Cycle </w:t>
      </w:r>
      <w:r w:rsidR="00B407DB">
        <w:rPr>
          <w:rFonts w:cs="Arial"/>
          <w:color w:val="333399"/>
          <w:sz w:val="32"/>
          <w:szCs w:val="32"/>
        </w:rPr>
        <w:t>2</w:t>
      </w:r>
    </w:p>
    <w:p w:rsidR="00B407DB" w:rsidRPr="00D1734F" w:rsidRDefault="00B407DB" w:rsidP="00B407DB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B407DB" w:rsidRPr="00D1734F" w:rsidRDefault="00B407DB" w:rsidP="00B407D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B407DB" w:rsidRPr="00D1734F" w:rsidRDefault="00B407DB" w:rsidP="00B407DB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B407DB" w:rsidRPr="00D1734F" w:rsidRDefault="00B407DB" w:rsidP="00B407D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B407DB" w:rsidRPr="00D1734F" w:rsidRDefault="00B407DB" w:rsidP="00B407D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B407DB" w:rsidRPr="00D1734F" w:rsidRDefault="00B407DB" w:rsidP="00B407D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B407DB" w:rsidRPr="00D1734F" w:rsidRDefault="00B407DB" w:rsidP="00B407D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43784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43784B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5274A</w:t>
            </w:r>
          </w:p>
        </w:tc>
        <w:tc>
          <w:tcPr>
            <w:tcW w:w="7146" w:type="dxa"/>
          </w:tcPr>
          <w:p w:rsidR="0001746B" w:rsidRPr="00D1734F" w:rsidRDefault="0043784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43784B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Revision to Add a New Subordinate Standard Specification for Sensor/Actuator Network Specific Device Model of a Generic Equipment Add-On Sensor (ADDON) to SEMI E54-0710, Sensor/Actuator Network Standard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C761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7535271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rPr>
          <w:rFonts w:ascii="Arial" w:hAnsi="Arial" w:cs="Arial"/>
          <w:color w:val="333399"/>
          <w:sz w:val="32"/>
          <w:szCs w:val="32"/>
        </w:rPr>
        <w:t>III. Rejects</w:t>
      </w: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28"/>
          <w:szCs w:val="28"/>
        </w:rPr>
      </w:pPr>
      <w:r w:rsidRPr="00D1734F">
        <w:rPr>
          <w:rFonts w:ascii="Arial" w:hAnsi="Arial" w:cs="Arial"/>
          <w:color w:val="333399"/>
          <w:sz w:val="28"/>
          <w:szCs w:val="28"/>
        </w:rPr>
        <w:t>Reject 1 (</w:t>
      </w:r>
      <w:r w:rsidR="0043784B">
        <w:rPr>
          <w:rFonts w:ascii="Arial" w:hAnsi="Arial" w:cs="Arial"/>
          <w:color w:val="333399"/>
          <w:sz w:val="28"/>
          <w:szCs w:val="28"/>
        </w:rPr>
        <w:t>Arlington Laboratory – Daniel Judd</w:t>
      </w:r>
      <w:r w:rsidRPr="00D1734F">
        <w:rPr>
          <w:rFonts w:ascii="Arial" w:hAnsi="Arial" w:cs="Arial"/>
          <w:color w:val="333399"/>
          <w:sz w:val="28"/>
          <w:szCs w:val="28"/>
        </w:rPr>
        <w:t>)</w:t>
      </w:r>
    </w:p>
    <w:p w:rsidR="0001746B" w:rsidRPr="00D1734F" w:rsidRDefault="0001746B">
      <w:pPr>
        <w:pStyle w:val="ARSubheading2"/>
        <w:rPr>
          <w:rFonts w:ascii="Arial" w:hAnsi="Arial" w:cs="Arial"/>
        </w:rPr>
      </w:pPr>
      <w:r w:rsidRPr="00D1734F">
        <w:rPr>
          <w:rFonts w:ascii="Arial" w:hAnsi="Arial" w:cs="Arial"/>
        </w:rPr>
        <w:t>Negative 1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1734F" w:rsidRPr="00D1734F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1734F" w:rsidRPr="00D1734F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justification should be included.</w:t>
            </w:r>
          </w:p>
        </w:tc>
      </w:tr>
      <w:tr w:rsidR="00D1734F" w:rsidRPr="00D1734F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784B" w:rsidRDefault="0043784B" w:rsidP="0043784B">
            <w:pPr>
              <w:rPr>
                <w:sz w:val="20"/>
                <w:szCs w:val="20"/>
              </w:rPr>
            </w:pPr>
            <w:r w:rsidRPr="00EC51C4">
              <w:rPr>
                <w:sz w:val="20"/>
                <w:szCs w:val="20"/>
              </w:rPr>
              <w:t xml:space="preserve">Most E54 NCS standards do not support the concept of </w:t>
            </w:r>
            <w:proofErr w:type="spellStart"/>
            <w:r w:rsidRPr="00EC51C4">
              <w:rPr>
                <w:sz w:val="20"/>
                <w:szCs w:val="20"/>
              </w:rPr>
              <w:t>EnableReportRate</w:t>
            </w:r>
            <w:proofErr w:type="spellEnd"/>
            <w:r w:rsidRPr="00EC51C4">
              <w:rPr>
                <w:sz w:val="20"/>
                <w:szCs w:val="20"/>
              </w:rPr>
              <w:t xml:space="preserve">, </w:t>
            </w:r>
            <w:proofErr w:type="spellStart"/>
            <w:r w:rsidRPr="00EC51C4">
              <w:rPr>
                <w:sz w:val="20"/>
                <w:szCs w:val="20"/>
              </w:rPr>
              <w:t>ReportInhibitTimer</w:t>
            </w:r>
            <w:proofErr w:type="spellEnd"/>
            <w:r w:rsidRPr="00EC51C4">
              <w:rPr>
                <w:sz w:val="20"/>
                <w:szCs w:val="20"/>
              </w:rPr>
              <w:t xml:space="preserve"> and </w:t>
            </w:r>
            <w:proofErr w:type="spellStart"/>
            <w:r w:rsidRPr="00EC51C4">
              <w:rPr>
                <w:sz w:val="20"/>
                <w:szCs w:val="20"/>
              </w:rPr>
              <w:t>ReportRate</w:t>
            </w:r>
            <w:proofErr w:type="spellEnd"/>
            <w:r w:rsidRPr="00EC51C4">
              <w:rPr>
                <w:sz w:val="20"/>
                <w:szCs w:val="20"/>
              </w:rPr>
              <w:t>. (Particularly, in objects</w:t>
            </w:r>
            <w:r>
              <w:rPr>
                <w:sz w:val="20"/>
                <w:szCs w:val="20"/>
              </w:rPr>
              <w:t xml:space="preserve"> </w:t>
            </w:r>
            <w:r w:rsidRPr="00EC51C4">
              <w:rPr>
                <w:sz w:val="20"/>
                <w:szCs w:val="20"/>
              </w:rPr>
              <w:t>other than network configuration objects.) Often, this functionality is controlled at the Master or Client side because unsolicited</w:t>
            </w:r>
            <w:r>
              <w:rPr>
                <w:sz w:val="20"/>
                <w:szCs w:val="20"/>
              </w:rPr>
              <w:t xml:space="preserve"> </w:t>
            </w:r>
            <w:r w:rsidRPr="00EC51C4">
              <w:rPr>
                <w:sz w:val="20"/>
                <w:szCs w:val="20"/>
              </w:rPr>
              <w:t>message production is not supported. These attributes must be defined as Optional (if at all). See CDM for S Class object definition</w:t>
            </w:r>
            <w:r w:rsidRPr="009D0958">
              <w:rPr>
                <w:sz w:val="20"/>
                <w:szCs w:val="20"/>
              </w:rPr>
              <w:t xml:space="preserve">. </w:t>
            </w:r>
          </w:p>
          <w:p w:rsidR="00A35C5A" w:rsidRPr="00D1734F" w:rsidRDefault="00A35C5A" w:rsidP="00D1734F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C02F11" w:rsidRPr="00D1734F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43784B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022143">
            <w:pPr>
              <w:suppressAutoHyphens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 w:rsidR="004718F7"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02F11" w:rsidRPr="00D1734F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D1734F" w:rsidRDefault="00C02F11" w:rsidP="00022143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A52F8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02F11" w:rsidRPr="00D1734F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02F11" w:rsidRPr="00D1734F" w:rsidRDefault="00C02F11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F65533" w:rsidRDefault="0043784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 w:rsidP="00C02F11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B525F2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="00251B71"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 w:rsidTr="00933F39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92E53" w:rsidRPr="00D1734F" w:rsidRDefault="00C92E53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D62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="0001746B"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5A2629" w:rsidRPr="00D1734F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5A2629" w:rsidRPr="00D1734F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29" w:rsidRPr="00D1734F" w:rsidRDefault="005A2629" w:rsidP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1734F" w:rsidRPr="00D1734F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43784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0" w:name="OLE_LINK1"/>
            <w:bookmarkEnd w:id="0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F65533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43784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Jack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Consulting) / Jackie Ferrell (SEMATECH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3F047B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43784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D62AF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 w:rsidP="004E1A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43784B" w:rsidP="0043784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8-0</w:t>
            </w:r>
          </w:p>
        </w:tc>
      </w:tr>
      <w:tr w:rsidR="00525759" w:rsidRPr="00D1734F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43784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525759" w:rsidRPr="00807410" w:rsidRDefault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525759" w:rsidRPr="00D1734F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52575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759" w:rsidRPr="00D1734F" w:rsidRDefault="00525759" w:rsidP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F11" w:rsidRPr="00D1734F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C02F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="00807410"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02F11" w:rsidRPr="00D1734F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807410" w:rsidRDefault="00525759" w:rsidP="008D1414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F11" w:rsidRPr="00D1734F">
              <w:rPr>
                <w:rFonts w:ascii="Arial" w:hAnsi="Arial" w:cs="Arial"/>
                <w:sz w:val="20"/>
                <w:szCs w:val="20"/>
              </w:rPr>
              <w:t>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C02F11" w:rsidRDefault="00C02F11" w:rsidP="00C02F11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807410" w:rsidRPr="00D1734F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807410" w:rsidRPr="00D1734F" w:rsidRDefault="0080741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“if the committee finds a negative not persuasive by a vote equal to or greater than 90% of the persons voting on the action”. (Regulations ¶  9.5.3.3.2)</w:t>
            </w:r>
          </w:p>
        </w:tc>
      </w:tr>
      <w:tr w:rsidR="00807410" w:rsidRPr="00D1734F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807410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07410" w:rsidRPr="00D1734F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AE3152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 w:rsidP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not related 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(counted under </w:t>
            </w:r>
            <w:proofErr w:type="spellStart"/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431592" w:rsidRPr="00D1734F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1592" w:rsidRPr="00D1734F" w:rsidRDefault="00431592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431592" w:rsidRPr="00D1734F" w:rsidRDefault="0043784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431592" w:rsidRDefault="00431592" w:rsidP="00431592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01746B" w:rsidRPr="00D1734F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01746B" w:rsidRPr="00D1734F" w:rsidRDefault="0001746B" w:rsidP="0043784B"/>
    <w:p w:rsidR="0001746B" w:rsidRPr="00D1734F" w:rsidRDefault="0043784B" w:rsidP="0043784B">
      <w:pPr>
        <w:rPr>
          <w:b/>
        </w:rPr>
      </w:pPr>
      <w:r>
        <w:rPr>
          <w:b/>
        </w:rPr>
        <w:t>Reject votes were also received from the following voters:</w:t>
      </w:r>
    </w:p>
    <w:p w:rsidR="0001746B" w:rsidRPr="0043784B" w:rsidRDefault="0043784B" w:rsidP="0043784B">
      <w:pPr>
        <w:pStyle w:val="ListParagraph"/>
        <w:numPr>
          <w:ilvl w:val="0"/>
          <w:numId w:val="2"/>
        </w:numPr>
        <w:rPr>
          <w:color w:val="0000FF"/>
        </w:rPr>
      </w:pPr>
      <w:proofErr w:type="spellStart"/>
      <w:r w:rsidRPr="0043784B">
        <w:rPr>
          <w:color w:val="0000FF"/>
        </w:rPr>
        <w:t>Mitsugu</w:t>
      </w:r>
      <w:proofErr w:type="spellEnd"/>
      <w:r w:rsidRPr="0043784B">
        <w:rPr>
          <w:color w:val="0000FF"/>
        </w:rPr>
        <w:t xml:space="preserve"> Sato – Canon</w:t>
      </w:r>
    </w:p>
    <w:p w:rsidR="0043784B" w:rsidRPr="0043784B" w:rsidRDefault="0043784B" w:rsidP="0043784B">
      <w:pPr>
        <w:pStyle w:val="ListParagraph"/>
        <w:numPr>
          <w:ilvl w:val="0"/>
          <w:numId w:val="2"/>
        </w:numPr>
        <w:rPr>
          <w:color w:val="0000FF"/>
        </w:rPr>
      </w:pPr>
      <w:r w:rsidRPr="0043784B">
        <w:rPr>
          <w:color w:val="0000FF"/>
        </w:rPr>
        <w:t>Mitsuhiro Matsuda – Hitachi-Kokusai</w:t>
      </w:r>
    </w:p>
    <w:p w:rsidR="0001746B" w:rsidRDefault="0001746B" w:rsidP="0043784B"/>
    <w:p w:rsidR="00C47C4C" w:rsidRPr="00D1734F" w:rsidRDefault="00C47C4C" w:rsidP="0043784B">
      <w:bookmarkStart w:id="1" w:name="_GoBack"/>
      <w:bookmarkEnd w:id="1"/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01746B" w:rsidRDefault="0043784B" w:rsidP="0043784B">
      <w:r>
        <w:t>Comments were received from the following voter(s):</w:t>
      </w:r>
    </w:p>
    <w:p w:rsidR="0043784B" w:rsidRPr="0043784B" w:rsidRDefault="0043784B" w:rsidP="0043784B">
      <w:pPr>
        <w:pStyle w:val="ListParagraph"/>
        <w:numPr>
          <w:ilvl w:val="0"/>
          <w:numId w:val="3"/>
        </w:numPr>
        <w:rPr>
          <w:color w:val="0000FF"/>
        </w:rPr>
      </w:pPr>
      <w:r w:rsidRPr="0043784B">
        <w:rPr>
          <w:color w:val="0000FF"/>
        </w:rPr>
        <w:t>Mitsuhiro Matsuda – Hitachi-Kokusai</w:t>
      </w:r>
    </w:p>
    <w:p w:rsidR="0043784B" w:rsidRDefault="0043784B" w:rsidP="0043784B"/>
    <w:p w:rsidR="00377076" w:rsidRPr="00D1734F" w:rsidRDefault="00377076">
      <w:pPr>
        <w:rPr>
          <w:rFonts w:ascii="Arial" w:hAnsi="Arial" w:cs="Arial"/>
          <w:sz w:val="20"/>
          <w:szCs w:val="20"/>
        </w:rPr>
      </w:pPr>
    </w:p>
    <w:p w:rsidR="0001746B" w:rsidRPr="00D1734F" w:rsidRDefault="0043784B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>V</w:t>
      </w:r>
      <w:r w:rsidR="0001746B" w:rsidRPr="00D1734F">
        <w:rPr>
          <w:rFonts w:ascii="Arial" w:hAnsi="Arial" w:cs="Arial"/>
          <w:color w:val="333399"/>
          <w:sz w:val="32"/>
          <w:szCs w:val="32"/>
        </w:rPr>
        <w:t>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1052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43784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43784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Jack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Consulting) / Jackie Ferrell (SEMATECH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43784B" w:rsidP="0043784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43784B" w:rsidP="0043784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43784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:rsidR="0001746B" w:rsidRPr="00D1734F" w:rsidRDefault="0001746B" w:rsidP="0043784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9C" w:rsidRDefault="00C7619C">
      <w:r>
        <w:separator/>
      </w:r>
    </w:p>
  </w:endnote>
  <w:endnote w:type="continuationSeparator" w:id="0">
    <w:p w:rsidR="00C7619C" w:rsidRDefault="00C7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9C" w:rsidRDefault="00C7619C">
      <w:r>
        <w:separator/>
      </w:r>
    </w:p>
  </w:footnote>
  <w:footnote w:type="continuationSeparator" w:id="0">
    <w:p w:rsidR="00C7619C" w:rsidRDefault="00C76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D733A9"/>
    <w:multiLevelType w:val="hybridMultilevel"/>
    <w:tmpl w:val="0B2A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43D53"/>
    <w:multiLevelType w:val="hybridMultilevel"/>
    <w:tmpl w:val="BB50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77924"/>
    <w:rsid w:val="0019417F"/>
    <w:rsid w:val="001A4649"/>
    <w:rsid w:val="001A4A50"/>
    <w:rsid w:val="001C0A0C"/>
    <w:rsid w:val="001D3D1E"/>
    <w:rsid w:val="00237BEF"/>
    <w:rsid w:val="0024230D"/>
    <w:rsid w:val="00251B71"/>
    <w:rsid w:val="002D768A"/>
    <w:rsid w:val="00341432"/>
    <w:rsid w:val="0035692C"/>
    <w:rsid w:val="00377076"/>
    <w:rsid w:val="003840DC"/>
    <w:rsid w:val="00393891"/>
    <w:rsid w:val="00393D81"/>
    <w:rsid w:val="003A2693"/>
    <w:rsid w:val="003E6B42"/>
    <w:rsid w:val="003F047B"/>
    <w:rsid w:val="00415707"/>
    <w:rsid w:val="00431592"/>
    <w:rsid w:val="0043784B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5D1F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933F39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07DB"/>
    <w:rsid w:val="00B45649"/>
    <w:rsid w:val="00B47911"/>
    <w:rsid w:val="00B525F2"/>
    <w:rsid w:val="00B64A44"/>
    <w:rsid w:val="00BB2B74"/>
    <w:rsid w:val="00BB2D97"/>
    <w:rsid w:val="00BF3369"/>
    <w:rsid w:val="00C02F11"/>
    <w:rsid w:val="00C10397"/>
    <w:rsid w:val="00C360A5"/>
    <w:rsid w:val="00C37D83"/>
    <w:rsid w:val="00C47C4C"/>
    <w:rsid w:val="00C7619C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347D4"/>
    <w:rsid w:val="00E54DF9"/>
    <w:rsid w:val="00E66484"/>
    <w:rsid w:val="00E75510"/>
    <w:rsid w:val="00E80F26"/>
    <w:rsid w:val="00E939F8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437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43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4</cp:revision>
  <cp:lastPrinted>2008-07-21T17:49:00Z</cp:lastPrinted>
  <dcterms:created xsi:type="dcterms:W3CDTF">2013-04-15T19:41:00Z</dcterms:created>
  <dcterms:modified xsi:type="dcterms:W3CDTF">2013-04-15T19:48:00Z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