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00B8" w:rsidRPr="00D1734F" w:rsidRDefault="001900B8" w:rsidP="001900B8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Ballot Adjudication Summary</w:t>
      </w:r>
    </w:p>
    <w:p w:rsidR="001900B8" w:rsidRPr="00D1734F" w:rsidRDefault="001900B8" w:rsidP="001900B8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</w:t>
      </w:r>
      <w:r w:rsidRPr="00D1734F">
        <w:rPr>
          <w:rFonts w:cs="Arial"/>
          <w:color w:val="333399"/>
          <w:sz w:val="32"/>
          <w:szCs w:val="32"/>
        </w:rPr>
        <w:t xml:space="preserve"> Cycle </w:t>
      </w:r>
      <w:r>
        <w:rPr>
          <w:rFonts w:cs="Arial"/>
          <w:color w:val="333399"/>
          <w:sz w:val="32"/>
          <w:szCs w:val="32"/>
        </w:rPr>
        <w:t>2</w:t>
      </w:r>
    </w:p>
    <w:p w:rsidR="001900B8" w:rsidRPr="00D1734F" w:rsidRDefault="001900B8" w:rsidP="001900B8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>
        <w:rPr>
          <w:rFonts w:cs="Arial"/>
          <w:color w:val="0000FF"/>
          <w:sz w:val="21"/>
          <w:szCs w:val="21"/>
        </w:rPr>
        <w:t>North America</w:t>
      </w:r>
    </w:p>
    <w:p w:rsidR="001900B8" w:rsidRPr="00D1734F" w:rsidRDefault="001900B8" w:rsidP="001900B8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COMMITTEE: </w:t>
      </w:r>
      <w:r>
        <w:rPr>
          <w:rFonts w:cs="Arial"/>
          <w:sz w:val="21"/>
          <w:szCs w:val="21"/>
        </w:rPr>
        <w:t>Information &amp; Control</w:t>
      </w:r>
    </w:p>
    <w:p w:rsidR="001900B8" w:rsidRPr="00D1734F" w:rsidRDefault="001900B8" w:rsidP="001900B8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>
        <w:rPr>
          <w:rFonts w:cs="Arial"/>
          <w:color w:val="0000FF"/>
          <w:sz w:val="21"/>
          <w:szCs w:val="21"/>
        </w:rPr>
        <w:t>NA Standards Spring 2013 Meetings</w:t>
      </w:r>
    </w:p>
    <w:p w:rsidR="001900B8" w:rsidRPr="00D1734F" w:rsidRDefault="001900B8" w:rsidP="001900B8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>
        <w:rPr>
          <w:rFonts w:cs="Arial"/>
          <w:sz w:val="21"/>
          <w:szCs w:val="21"/>
        </w:rPr>
        <w:t>April 3, 2013</w:t>
      </w:r>
    </w:p>
    <w:p w:rsidR="001900B8" w:rsidRPr="00D1734F" w:rsidRDefault="001900B8" w:rsidP="001900B8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</w:p>
    <w:p w:rsidR="001900B8" w:rsidRPr="00D1734F" w:rsidRDefault="001900B8" w:rsidP="001900B8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 CO-CHAIRS: </w:t>
      </w:r>
      <w:r>
        <w:rPr>
          <w:rFonts w:cs="Arial"/>
          <w:sz w:val="21"/>
          <w:szCs w:val="21"/>
        </w:rPr>
        <w:t xml:space="preserve">Jack 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 xml:space="preserve"> Consulting, Lance </w:t>
      </w:r>
      <w:proofErr w:type="spellStart"/>
      <w:r>
        <w:rPr>
          <w:rFonts w:cs="Arial"/>
          <w:sz w:val="21"/>
          <w:szCs w:val="21"/>
        </w:rPr>
        <w:t>Rist</w:t>
      </w:r>
      <w:proofErr w:type="spellEnd"/>
      <w:r>
        <w:rPr>
          <w:rFonts w:cs="Arial"/>
          <w:sz w:val="21"/>
          <w:szCs w:val="21"/>
        </w:rPr>
        <w:t>/Industry Consultant</w:t>
      </w:r>
    </w:p>
    <w:p w:rsidR="001900B8" w:rsidRPr="00D1734F" w:rsidRDefault="001900B8" w:rsidP="001900B8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>
        <w:rPr>
          <w:rFonts w:cs="Arial"/>
          <w:sz w:val="21"/>
          <w:szCs w:val="21"/>
        </w:rPr>
        <w:t>Paul Trio</w:t>
      </w:r>
    </w:p>
    <w:p w:rsidR="0001746B" w:rsidRPr="00D1734F" w:rsidRDefault="0001746B">
      <w:pPr>
        <w:pStyle w:val="ARTitle"/>
        <w:rPr>
          <w:rFonts w:cs="Arial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I. Document Number &amp;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46"/>
      </w:tblGrid>
      <w:tr w:rsidR="0001746B" w:rsidRPr="00D1734F">
        <w:trPr>
          <w:jc w:val="center"/>
        </w:trPr>
        <w:tc>
          <w:tcPr>
            <w:tcW w:w="2244" w:type="dxa"/>
          </w:tcPr>
          <w:p w:rsidR="0001746B" w:rsidRPr="00D1734F" w:rsidRDefault="0001746B" w:rsidP="001900B8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1900B8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5411A</w:t>
            </w:r>
          </w:p>
        </w:tc>
        <w:tc>
          <w:tcPr>
            <w:tcW w:w="7146" w:type="dxa"/>
          </w:tcPr>
          <w:p w:rsidR="0001746B" w:rsidRPr="00D1734F" w:rsidRDefault="001900B8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1900B8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New Standard: Specification for Equipment Energy Saving Mode Communications (EESM)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bCs w:val="0"/>
          <w:color w:val="FF6600"/>
          <w:sz w:val="28"/>
          <w:szCs w:val="28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(</w:t>
      </w:r>
      <w:r w:rsidRPr="00D1734F">
        <w:rPr>
          <w:rFonts w:ascii="Arial" w:hAnsi="Arial"/>
          <w:color w:val="FF6600"/>
          <w:sz w:val="28"/>
          <w:szCs w:val="28"/>
        </w:rPr>
        <w:t>Staff to fill in</w:t>
      </w:r>
      <w:r w:rsidRPr="00D1734F">
        <w:rPr>
          <w:rFonts w:ascii="Arial" w:hAnsi="Arial"/>
          <w:bCs w:val="0"/>
          <w:color w:val="FF6600"/>
          <w:sz w:val="28"/>
          <w:szCs w:val="28"/>
        </w:rPr>
        <w:t>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:rsidR="0001746B" w:rsidRPr="00D1734F" w:rsidRDefault="0001746B">
      <w:pPr>
        <w:pStyle w:val="RegsH3Text"/>
        <w:ind w:left="360"/>
        <w:rPr>
          <w:rFonts w:ascii="Arial" w:hAnsi="Arial" w:cs="Arial"/>
        </w:rPr>
      </w:pPr>
      <w:r w:rsidRPr="00D1734F">
        <w:rPr>
          <w:rFonts w:ascii="Arial" w:hAnsi="Arial" w:cs="Arial"/>
        </w:rPr>
        <w:t>A minimum of 60% of the voting interests that have voting members within the technical committee must return votes. (Regulations ¶ 9.6.1)</w:t>
      </w:r>
    </w:p>
    <w:p w:rsidR="0001746B" w:rsidRPr="00D1734F" w:rsidRDefault="00FB03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pt;width:321.2pt;height:125.7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1026" DrawAspect="Content" ObjectID="_1428246167" r:id="rId9"/>
        </w:pic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  <w:r w:rsidRPr="00D1734F">
        <w:br w:type="page"/>
      </w: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III. Rejects</w:t>
      </w:r>
    </w:p>
    <w:p w:rsidR="0001746B" w:rsidRPr="00D1734F" w:rsidRDefault="00AB08F9">
      <w:pPr>
        <w:pStyle w:val="ARSubheading2"/>
        <w:rPr>
          <w:rFonts w:ascii="Arial" w:hAnsi="Arial" w:cs="Arial"/>
        </w:rPr>
      </w:pPr>
      <w:r>
        <w:rPr>
          <w:rFonts w:ascii="Arial" w:hAnsi="Arial" w:cs="Arial"/>
        </w:rPr>
        <w:t>Technical fault identified during ballot review.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171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D1734F" w:rsidRPr="00D1734F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D1734F" w:rsidRPr="00D1734F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34F" w:rsidRPr="00D1734F" w:rsidRDefault="00D1734F" w:rsidP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</w:p>
        </w:tc>
      </w:tr>
      <w:tr w:rsidR="00D1734F" w:rsidRPr="00D1734F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 w:rsidP="00D1734F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justification should be included.</w:t>
            </w:r>
          </w:p>
        </w:tc>
      </w:tr>
      <w:tr w:rsidR="00D1734F" w:rsidRPr="00D1734F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08F9" w:rsidRPr="00AB08F9" w:rsidRDefault="00AB08F9" w:rsidP="00AB08F9">
            <w:pPr>
              <w:rPr>
                <w:sz w:val="22"/>
                <w:lang w:eastAsia="ja-JP"/>
              </w:rPr>
            </w:pPr>
            <w:r w:rsidRPr="00AB08F9">
              <w:rPr>
                <w:sz w:val="22"/>
                <w:lang w:eastAsia="ja-JP"/>
              </w:rPr>
              <w:t xml:space="preserve">The Trigger text for Table 7, Transition 11 (RQ-00039) incorrectly references the Sleep command when it should have referenced the </w:t>
            </w:r>
            <w:proofErr w:type="spellStart"/>
            <w:r w:rsidRPr="00AB08F9">
              <w:rPr>
                <w:sz w:val="22"/>
                <w:lang w:eastAsia="ja-JP"/>
              </w:rPr>
              <w:t>WakeUp</w:t>
            </w:r>
            <w:proofErr w:type="spellEnd"/>
            <w:r w:rsidRPr="00AB08F9">
              <w:rPr>
                <w:sz w:val="22"/>
                <w:lang w:eastAsia="ja-JP"/>
              </w:rPr>
              <w:t xml:space="preserve"> command.</w:t>
            </w:r>
          </w:p>
        </w:tc>
      </w:tr>
      <w:tr w:rsidR="00C02F11" w:rsidRPr="00D1734F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02F11" w:rsidRPr="00D1734F" w:rsidRDefault="00C02F11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F65533" w:rsidRDefault="00AB08F9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 w:rsidP="00C02F11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01746B" w:rsidRPr="00D1734F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B525F2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="00251B71"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01746B" w:rsidRPr="00D1734F" w:rsidTr="00933F39">
        <w:trPr>
          <w:cantSplit/>
          <w:trHeight w:val="59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C92E53" w:rsidRPr="00D1734F" w:rsidRDefault="00C92E53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D62A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="0001746B"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5A2629" w:rsidRPr="00D1734F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5A2629" w:rsidRPr="00D1734F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29" w:rsidRPr="00D1734F" w:rsidRDefault="005A2629" w:rsidP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734F" w:rsidRPr="00D1734F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D1734F" w:rsidRPr="00D1734F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AB08F9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bookmarkStart w:id="0" w:name="OLE_LINK1"/>
            <w:bookmarkEnd w:id="0"/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F65533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AB08F9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Gino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Crispieri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(ISMI) / Mitsuhiro Matsuda (Hitachi-Kokusai</w:t>
            </w:r>
            <w:r w:rsidR="0001746B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 w:rsidTr="003F047B">
        <w:trPr>
          <w:cantSplit/>
          <w:trHeight w:val="31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AB08F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D62AF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 w:rsidP="004E1A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AB08F9" w:rsidP="00AB08F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10-0</w:t>
            </w:r>
          </w:p>
        </w:tc>
      </w:tr>
      <w:tr w:rsidR="00525759" w:rsidRPr="00D1734F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AB08F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525759" w:rsidRPr="00807410" w:rsidRDefault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525759" w:rsidRPr="00D1734F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52575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759" w:rsidRPr="00D1734F" w:rsidRDefault="00525759" w:rsidP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2F11" w:rsidRPr="00D1734F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C02F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="00431592"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="00807410"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02F11" w:rsidRPr="00D1734F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F11" w:rsidRPr="00807410" w:rsidRDefault="00525759" w:rsidP="008D1414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F11" w:rsidRPr="00D1734F">
              <w:rPr>
                <w:rFonts w:ascii="Arial" w:hAnsi="Arial" w:cs="Arial"/>
                <w:sz w:val="20"/>
                <w:szCs w:val="20"/>
              </w:rPr>
              <w:t>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C02F11" w:rsidRDefault="00C02F11" w:rsidP="00C02F11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807410" w:rsidRPr="00D1734F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807410" w:rsidRPr="00D1734F" w:rsidRDefault="00807410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</w:t>
            </w:r>
          </w:p>
        </w:tc>
        <w:tc>
          <w:tcPr>
            <w:tcW w:w="90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“if the committee finds a negative not persuasive by a vote equal to or greater than 90% of the persons voting on the action”. (Regulations ¶  9.5.3.3.2)</w:t>
            </w:r>
          </w:p>
        </w:tc>
      </w:tr>
      <w:tr w:rsidR="00807410" w:rsidRPr="00D1734F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807410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807410" w:rsidRPr="00D1734F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AE3152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 w:rsidP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208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not related 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(counted under </w:t>
            </w:r>
            <w:proofErr w:type="spellStart"/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431592" w:rsidRPr="00D1734F">
        <w:trPr>
          <w:cantSplit/>
          <w:trHeight w:hRule="exact" w:val="328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31592" w:rsidRPr="00D1734F" w:rsidRDefault="00431592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431592" w:rsidRPr="00D1734F" w:rsidRDefault="00AB08F9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431592" w:rsidRDefault="00431592" w:rsidP="00431592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01746B" w:rsidRPr="00D1734F">
        <w:trPr>
          <w:cantSplit/>
          <w:trHeight w:val="373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</w:tbl>
    <w:p w:rsidR="0001746B" w:rsidRPr="00D1734F" w:rsidRDefault="0001746B" w:rsidP="00AB08F9"/>
    <w:p w:rsidR="0001746B" w:rsidRDefault="00AB08F9" w:rsidP="00AB08F9">
      <w:r>
        <w:t>Reject votes were received from the following voter(s):</w:t>
      </w:r>
    </w:p>
    <w:p w:rsidR="00AB08F9" w:rsidRPr="00AB08F9" w:rsidRDefault="00AB08F9" w:rsidP="00AB08F9">
      <w:pPr>
        <w:pStyle w:val="ListParagraph"/>
        <w:numPr>
          <w:ilvl w:val="0"/>
          <w:numId w:val="2"/>
        </w:numPr>
        <w:rPr>
          <w:color w:val="0000FF"/>
        </w:rPr>
      </w:pPr>
      <w:proofErr w:type="spellStart"/>
      <w:r w:rsidRPr="00AB08F9">
        <w:rPr>
          <w:color w:val="0000FF"/>
        </w:rPr>
        <w:t>Hyungsu</w:t>
      </w:r>
      <w:proofErr w:type="spellEnd"/>
      <w:r w:rsidRPr="00AB08F9">
        <w:rPr>
          <w:color w:val="0000FF"/>
        </w:rPr>
        <w:t xml:space="preserve"> Kim (Samsung)</w:t>
      </w:r>
    </w:p>
    <w:p w:rsidR="0001746B" w:rsidRDefault="0001746B" w:rsidP="00AB08F9"/>
    <w:p w:rsidR="00167FFC" w:rsidRPr="00D1734F" w:rsidRDefault="00167FFC" w:rsidP="00AB08F9"/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IV. Comments</w:t>
      </w:r>
    </w:p>
    <w:p w:rsidR="00377076" w:rsidRDefault="00AB08F9" w:rsidP="00AB08F9">
      <w:r>
        <w:t>Comments were received from the following voter(s):</w:t>
      </w:r>
    </w:p>
    <w:p w:rsidR="00AB08F9" w:rsidRPr="00AB08F9" w:rsidRDefault="00AB08F9" w:rsidP="00AB08F9">
      <w:pPr>
        <w:pStyle w:val="ListParagraph"/>
        <w:numPr>
          <w:ilvl w:val="0"/>
          <w:numId w:val="2"/>
        </w:numPr>
        <w:rPr>
          <w:color w:val="0000FF"/>
        </w:rPr>
      </w:pPr>
      <w:r w:rsidRPr="00AB08F9">
        <w:rPr>
          <w:color w:val="0000FF"/>
        </w:rPr>
        <w:t>Mitsuhiro Matsuda (Hitachi Kokusai)</w:t>
      </w:r>
    </w:p>
    <w:p w:rsidR="00AB08F9" w:rsidRPr="00AB08F9" w:rsidRDefault="00AB08F9" w:rsidP="00AB08F9">
      <w:pPr>
        <w:pStyle w:val="ListParagraph"/>
        <w:numPr>
          <w:ilvl w:val="0"/>
          <w:numId w:val="2"/>
        </w:numPr>
        <w:rPr>
          <w:color w:val="0000FF"/>
        </w:rPr>
      </w:pPr>
      <w:r w:rsidRPr="00AB08F9">
        <w:rPr>
          <w:color w:val="0000FF"/>
        </w:rPr>
        <w:t xml:space="preserve">Jan </w:t>
      </w:r>
      <w:proofErr w:type="spellStart"/>
      <w:r w:rsidRPr="00AB08F9">
        <w:rPr>
          <w:color w:val="0000FF"/>
        </w:rPr>
        <w:t>Rothe</w:t>
      </w:r>
      <w:proofErr w:type="spellEnd"/>
      <w:r w:rsidRPr="00AB08F9">
        <w:rPr>
          <w:color w:val="0000FF"/>
        </w:rPr>
        <w:t xml:space="preserve"> (GLOBALFOUNDRIES)</w:t>
      </w:r>
    </w:p>
    <w:p w:rsidR="00AB08F9" w:rsidRPr="00AB08F9" w:rsidRDefault="00AB08F9" w:rsidP="00AB08F9">
      <w:pPr>
        <w:pStyle w:val="ListParagraph"/>
        <w:numPr>
          <w:ilvl w:val="0"/>
          <w:numId w:val="2"/>
        </w:numPr>
        <w:rPr>
          <w:color w:val="0000FF"/>
        </w:rPr>
      </w:pPr>
      <w:r w:rsidRPr="00AB08F9">
        <w:rPr>
          <w:color w:val="0000FF"/>
        </w:rPr>
        <w:t>Sean Larsen (Lam Research AG)</w:t>
      </w:r>
    </w:p>
    <w:p w:rsidR="00AB08F9" w:rsidRDefault="00AB08F9" w:rsidP="00AB08F9"/>
    <w:p w:rsidR="00167FFC" w:rsidRPr="00D1734F" w:rsidRDefault="00167FFC" w:rsidP="00AB08F9">
      <w:bookmarkStart w:id="1" w:name="_GoBack"/>
      <w:bookmarkEnd w:id="1"/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IX. Action for this document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1052"/>
        <w:gridCol w:w="356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as balloted and will be forwarded to the A&amp;R for procedural review.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with editorial changes and will be forwarded to the A&amp;R for procedural review.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AB08F9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will be returned to the task force for rework.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work will be discontinued.</w:t>
            </w:r>
          </w:p>
        </w:tc>
      </w:tr>
      <w:tr w:rsidR="0001746B" w:rsidRPr="00D1734F">
        <w:trPr>
          <w:cantSplit/>
          <w:trHeight w:val="188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Motion by/2nd by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AB08F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Gino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Crispieri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(ISMI) / Mitsuhiro Matsuda (Hitachi-Kokusai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trHeight w:val="242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AB08F9" w:rsidP="00AB08F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AB08F9" w:rsidP="00AB08F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10-0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169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1746B" w:rsidRPr="00D1734F" w:rsidRDefault="00AB08F9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34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sectPr w:rsidR="0001746B" w:rsidRPr="00D1734F" w:rsidSect="00A35C5A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AF" w:rsidRDefault="00FB03AF">
      <w:r>
        <w:separator/>
      </w:r>
    </w:p>
  </w:endnote>
  <w:endnote w:type="continuationSeparator" w:id="0">
    <w:p w:rsidR="00FB03AF" w:rsidRDefault="00FB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Nimbus Sans L">
    <w:altName w:val="Arial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AF" w:rsidRDefault="00FB03AF">
      <w:r>
        <w:separator/>
      </w:r>
    </w:p>
  </w:footnote>
  <w:footnote w:type="continuationSeparator" w:id="0">
    <w:p w:rsidR="00FB03AF" w:rsidRDefault="00FB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1F6744"/>
    <w:multiLevelType w:val="hybridMultilevel"/>
    <w:tmpl w:val="577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3"/>
    <w:rsid w:val="00000935"/>
    <w:rsid w:val="0001746B"/>
    <w:rsid w:val="00022143"/>
    <w:rsid w:val="00023A3C"/>
    <w:rsid w:val="00097DCC"/>
    <w:rsid w:val="000D1123"/>
    <w:rsid w:val="000D62AF"/>
    <w:rsid w:val="001106F3"/>
    <w:rsid w:val="001155AC"/>
    <w:rsid w:val="00152946"/>
    <w:rsid w:val="001648C4"/>
    <w:rsid w:val="00167FFC"/>
    <w:rsid w:val="001900B8"/>
    <w:rsid w:val="0019417F"/>
    <w:rsid w:val="001A4649"/>
    <w:rsid w:val="001A4A50"/>
    <w:rsid w:val="001C0A0C"/>
    <w:rsid w:val="001D3D1E"/>
    <w:rsid w:val="00237BEF"/>
    <w:rsid w:val="0024230D"/>
    <w:rsid w:val="00251B71"/>
    <w:rsid w:val="002D768A"/>
    <w:rsid w:val="00341432"/>
    <w:rsid w:val="0035692C"/>
    <w:rsid w:val="00377076"/>
    <w:rsid w:val="003840DC"/>
    <w:rsid w:val="00393891"/>
    <w:rsid w:val="00393D81"/>
    <w:rsid w:val="003A2693"/>
    <w:rsid w:val="003E6B42"/>
    <w:rsid w:val="003F047B"/>
    <w:rsid w:val="00415707"/>
    <w:rsid w:val="00431592"/>
    <w:rsid w:val="00452726"/>
    <w:rsid w:val="004718F7"/>
    <w:rsid w:val="004732E5"/>
    <w:rsid w:val="00487108"/>
    <w:rsid w:val="004A228B"/>
    <w:rsid w:val="004B2C53"/>
    <w:rsid w:val="004E1ABA"/>
    <w:rsid w:val="004F4388"/>
    <w:rsid w:val="00510659"/>
    <w:rsid w:val="0051132D"/>
    <w:rsid w:val="00525759"/>
    <w:rsid w:val="00543F4C"/>
    <w:rsid w:val="00550DB9"/>
    <w:rsid w:val="005A2629"/>
    <w:rsid w:val="005A4033"/>
    <w:rsid w:val="005C7353"/>
    <w:rsid w:val="00625D1F"/>
    <w:rsid w:val="00647237"/>
    <w:rsid w:val="00671DD3"/>
    <w:rsid w:val="00682EB7"/>
    <w:rsid w:val="0068765A"/>
    <w:rsid w:val="006E10CF"/>
    <w:rsid w:val="006F728E"/>
    <w:rsid w:val="007438F7"/>
    <w:rsid w:val="007456D4"/>
    <w:rsid w:val="0076418D"/>
    <w:rsid w:val="0079300E"/>
    <w:rsid w:val="007D1BCA"/>
    <w:rsid w:val="007E1088"/>
    <w:rsid w:val="00807410"/>
    <w:rsid w:val="008174B8"/>
    <w:rsid w:val="00833BEC"/>
    <w:rsid w:val="0084093B"/>
    <w:rsid w:val="00863CB8"/>
    <w:rsid w:val="008B6668"/>
    <w:rsid w:val="008B66FA"/>
    <w:rsid w:val="008B6960"/>
    <w:rsid w:val="008D1414"/>
    <w:rsid w:val="00933F39"/>
    <w:rsid w:val="00947F48"/>
    <w:rsid w:val="009543D6"/>
    <w:rsid w:val="009710DF"/>
    <w:rsid w:val="009A4196"/>
    <w:rsid w:val="009C01EF"/>
    <w:rsid w:val="009E4E7C"/>
    <w:rsid w:val="00A017D5"/>
    <w:rsid w:val="00A20CB0"/>
    <w:rsid w:val="00A35C5A"/>
    <w:rsid w:val="00A36E2A"/>
    <w:rsid w:val="00A52F81"/>
    <w:rsid w:val="00A54C5B"/>
    <w:rsid w:val="00A660A7"/>
    <w:rsid w:val="00A75FBC"/>
    <w:rsid w:val="00A85B49"/>
    <w:rsid w:val="00AB08F9"/>
    <w:rsid w:val="00AB1FA9"/>
    <w:rsid w:val="00AC0D33"/>
    <w:rsid w:val="00AE3152"/>
    <w:rsid w:val="00AE6243"/>
    <w:rsid w:val="00B02392"/>
    <w:rsid w:val="00B2287D"/>
    <w:rsid w:val="00B27D13"/>
    <w:rsid w:val="00B35369"/>
    <w:rsid w:val="00B45649"/>
    <w:rsid w:val="00B47911"/>
    <w:rsid w:val="00B525F2"/>
    <w:rsid w:val="00B64A44"/>
    <w:rsid w:val="00BB2B74"/>
    <w:rsid w:val="00BB2D97"/>
    <w:rsid w:val="00BF3369"/>
    <w:rsid w:val="00C02F11"/>
    <w:rsid w:val="00C10397"/>
    <w:rsid w:val="00C360A5"/>
    <w:rsid w:val="00C37D83"/>
    <w:rsid w:val="00C92E53"/>
    <w:rsid w:val="00D07EBC"/>
    <w:rsid w:val="00D1734F"/>
    <w:rsid w:val="00D42EA6"/>
    <w:rsid w:val="00D63220"/>
    <w:rsid w:val="00D90680"/>
    <w:rsid w:val="00D91C72"/>
    <w:rsid w:val="00DA2582"/>
    <w:rsid w:val="00DA39E9"/>
    <w:rsid w:val="00DA4DBC"/>
    <w:rsid w:val="00DA771B"/>
    <w:rsid w:val="00E03382"/>
    <w:rsid w:val="00E12864"/>
    <w:rsid w:val="00E146F5"/>
    <w:rsid w:val="00E347D4"/>
    <w:rsid w:val="00E54DF9"/>
    <w:rsid w:val="00E66484"/>
    <w:rsid w:val="00E75510"/>
    <w:rsid w:val="00E80F26"/>
    <w:rsid w:val="00E939F8"/>
    <w:rsid w:val="00EC40D9"/>
    <w:rsid w:val="00ED68D8"/>
    <w:rsid w:val="00EF3711"/>
    <w:rsid w:val="00F03006"/>
    <w:rsid w:val="00F16D6B"/>
    <w:rsid w:val="00F2109E"/>
    <w:rsid w:val="00F42697"/>
    <w:rsid w:val="00F443DE"/>
    <w:rsid w:val="00F65533"/>
    <w:rsid w:val="00FB03AF"/>
    <w:rsid w:val="00FB40BC"/>
    <w:rsid w:val="00FB670D"/>
    <w:rsid w:val="00FE75A5"/>
    <w:rsid w:val="00FF0D3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ListParagraph">
    <w:name w:val="List Paragraph"/>
    <w:basedOn w:val="Normal"/>
    <w:uiPriority w:val="34"/>
    <w:qFormat/>
    <w:rsid w:val="00AB0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ListParagraph">
    <w:name w:val="List Paragraph"/>
    <w:basedOn w:val="Normal"/>
    <w:uiPriority w:val="34"/>
    <w:qFormat/>
    <w:rsid w:val="00AB0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429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A&amp;R Template 4.4</vt:lpstr>
    </vt:vector>
  </TitlesOfParts>
  <Company>SEMI Japan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SEMI</dc:creator>
  <cp:lastModifiedBy>Paul Trio</cp:lastModifiedBy>
  <cp:revision>4</cp:revision>
  <cp:lastPrinted>2008-07-21T17:49:00Z</cp:lastPrinted>
  <dcterms:created xsi:type="dcterms:W3CDTF">2013-04-15T19:49:00Z</dcterms:created>
  <dcterms:modified xsi:type="dcterms:W3CDTF">2013-04-24T01:16:00Z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[A&amp;R SC]  Template updated (appreciate your comments!!)</vt:lpwstr>
  </property>
  <property fmtid="{D5CDD505-2E9C-101B-9397-08002B2CF9AE}" pid="3" name="_AuthorEmail">
    <vt:lpwstr>jack.martinez@nist.gov</vt:lpwstr>
  </property>
  <property fmtid="{D5CDD505-2E9C-101B-9397-08002B2CF9AE}" pid="4" name="_AuthorEmailDisplayName">
    <vt:lpwstr>Jack Martinez</vt:lpwstr>
  </property>
  <property fmtid="{D5CDD505-2E9C-101B-9397-08002B2CF9AE}" pid="5" name="_AdHocReviewCycleID">
    <vt:i4>1624694526</vt:i4>
  </property>
  <property fmtid="{D5CDD505-2E9C-101B-9397-08002B2CF9AE}" pid="6" name="_ReviewingToolsShownOnce">
    <vt:lpwstr/>
  </property>
</Properties>
</file>